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b/>
          <w:bCs/>
          <w:color w:val="3B5BFF"/>
          <w:spacing w:val="60"/>
          <w:sz w:val="18"/>
          <w:szCs w:val="18"/>
        </w:rPr>
        <w:t xml:space="preserve">POLICY TEMPLATE</w:t>
      </w:r>
    </w:p>
    <w:p>
      <w:pPr>
        <w:spacing w:after="80"/>
        <w:jc w:val="left"/>
      </w:pPr>
      <w:r>
        <w:rPr>
          <w:b/>
          <w:bCs/>
          <w:color w:val="0F172A"/>
          <w:sz w:val="44"/>
          <w:szCs w:val="44"/>
        </w:rPr>
        <w:t xml:space="preserve">Return-to-work interview policy</w:t>
      </w:r>
    </w:p>
    <w:p>
      <w:pPr>
        <w:spacing w:after="320"/>
      </w:pPr>
      <w:r>
        <w:rPr>
          <w:i/>
          <w:iCs/>
          <w:color w:val="64748B"/>
          <w:sz w:val="22"/>
          <w:szCs w:val="22"/>
        </w:rPr>
        <w:t xml:space="preserve">A 9-clause sample policy for UK SMEs. Replace placeholders in [SQUARE BRACKETS] with details specific to your organisation.</w:t>
      </w:r>
    </w:p>
    <w:p>
      <w:pPr>
        <w:pBdr>
          <w:bottom w:val="single" w:color="E2E8F0" w:sz="8" w:space="1"/>
        </w:pBd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Policy name</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Return-to-work interview policy</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Owner</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[NAME OR ROLE, e.g. HR Manager]</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Applies to</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All [COMPANY NAME] employees</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Effective from</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[DATE]</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Last reviewed</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[DATE]</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Next review</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[DATE]</w:t>
            </w:r>
          </w:p>
        </w:tc>
      </w:tr>
      <w:tr>
        <w:tc>
          <w:tcPr>
            <w:tcW w:type="dxa" w:w="2400"/>
            <w:tcBorders>
              <w:top w:val="none" w:color="FFFFFF" w:sz="0"/>
              <w:left w:val="none" w:color="FFFFFF" w:sz="0"/>
              <w:bottom w:val="none" w:color="FFFFFF" w:sz="0"/>
              <w:right w:val="none" w:color="FFFFFF" w:sz="0"/>
            </w:tcBorders>
            <w:shd w:fill="F8FAFC" w:val="clear"/>
            <w:tcMar>
              <w:top w:type="dxa" w:w="100"/>
              <w:left w:type="dxa" w:w="160"/>
              <w:bottom w:type="dxa" w:w="100"/>
              <w:right w:type="dxa" w:w="80"/>
            </w:tcMar>
          </w:tcPr>
          <w:p>
            <w:r>
              <w:rPr>
                <w:b/>
                <w:bCs/>
                <w:color w:val="64748B"/>
                <w:sz w:val="18"/>
                <w:szCs w:val="18"/>
              </w:rPr>
              <w:t xml:space="preserve">Version</w:t>
            </w:r>
          </w:p>
        </w:tc>
        <w:tc>
          <w:tcPr>
            <w:tcW w:type="dxa" w:w="6960"/>
            <w:tcBorders>
              <w:top w:val="none" w:color="FFFFFF" w:sz="0"/>
              <w:left w:val="none" w:color="FFFFFF" w:sz="0"/>
              <w:bottom w:val="none" w:color="FFFFFF" w:sz="0"/>
              <w:right w:val="none" w:color="FFFFFF" w:sz="0"/>
            </w:tcBorders>
            <w:shd w:fill="F8FAFC" w:val="clear"/>
            <w:tcMar>
              <w:top w:type="dxa" w:w="100"/>
              <w:left w:type="dxa" w:w="80"/>
              <w:bottom w:type="dxa" w:w="100"/>
              <w:right w:type="dxa" w:w="160"/>
            </w:tcMar>
          </w:tcPr>
          <w:p>
            <w:r>
              <w:rPr>
                <w:color w:val="1E293B"/>
                <w:sz w:val="22"/>
                <w:szCs w:val="22"/>
              </w:rPr>
              <w:t xml:space="preserve">1.0</w:t>
            </w:r>
          </w:p>
        </w:tc>
      </w:tr>
    </w:tbl>
    <w:p>
      <w:pPr>
        <w:spacing w:after="280" w:before="0"/>
      </w:pPr>
      <w:r>
        <w:t xml:space="preserve"/>
      </w:r>
    </w:p>
    <w:p>
      <w:pPr>
        <w:pStyle w:val="Heading2"/>
        <w:spacing w:after="120" w:before="320"/>
      </w:pPr>
      <w:r>
        <w:rPr>
          <w:b/>
          <w:bCs/>
          <w:color w:val="0F172A"/>
          <w:sz w:val="26"/>
          <w:szCs w:val="26"/>
        </w:rPr>
        <w:t xml:space="preserve">1. Purpose and scope</w:t>
      </w:r>
    </w:p>
    <w:p>
      <w:pPr>
        <w:spacing w:after="140" w:line="300"/>
      </w:pPr>
      <w:r>
        <w:rPr>
          <w:color w:val="1E293B"/>
          <w:sz w:val="22"/>
          <w:szCs w:val="22"/>
        </w:rPr>
        <w:t xml:space="preserve">This policy sets out how [COMPANY NAME] manages return-to-work interviews following any period of sickness absence. The aims are to:</w:t>
      </w:r>
    </w:p>
    <w:p>
      <w:pPr>
        <w:pStyle w:val="ListParagraph"/>
        <w:numPr>
          <w:ilvl w:val="0"/>
          <w:numId w:val="2"/>
        </w:numPr>
        <w:spacing w:after="80" w:line="290"/>
      </w:pPr>
      <w:r>
        <w:rPr>
          <w:color w:val="1E293B"/>
          <w:sz w:val="22"/>
          <w:szCs w:val="22"/>
        </w:rPr>
        <w:t xml:space="preserve">Welcome the employee back and confirm they are fit to return</w:t>
      </w:r>
    </w:p>
    <w:p>
      <w:pPr>
        <w:pStyle w:val="ListParagraph"/>
        <w:numPr>
          <w:ilvl w:val="0"/>
          <w:numId w:val="2"/>
        </w:numPr>
        <w:spacing w:after="80" w:line="290"/>
      </w:pPr>
      <w:r>
        <w:rPr>
          <w:color w:val="1E293B"/>
          <w:sz w:val="22"/>
          <w:szCs w:val="22"/>
        </w:rPr>
        <w:t xml:space="preserve">Identify any reasonable adjustments needed to support a sustainable return</w:t>
      </w:r>
    </w:p>
    <w:p>
      <w:pPr>
        <w:pStyle w:val="ListParagraph"/>
        <w:numPr>
          <w:ilvl w:val="0"/>
          <w:numId w:val="2"/>
        </w:numPr>
        <w:spacing w:after="80" w:line="290"/>
      </w:pPr>
      <w:r>
        <w:rPr>
          <w:color w:val="1E293B"/>
          <w:sz w:val="22"/>
          <w:szCs w:val="22"/>
        </w:rPr>
        <w:t xml:space="preserve">Update the employee on work changes that happened during the absence</w:t>
      </w:r>
    </w:p>
    <w:p>
      <w:pPr>
        <w:pStyle w:val="ListParagraph"/>
        <w:numPr>
          <w:ilvl w:val="0"/>
          <w:numId w:val="2"/>
        </w:numPr>
        <w:spacing w:after="80" w:line="290"/>
      </w:pPr>
      <w:r>
        <w:rPr>
          <w:color w:val="1E293B"/>
          <w:sz w:val="22"/>
          <w:szCs w:val="22"/>
        </w:rPr>
        <w:t xml:space="preserve">Record absence accurately for management information and any future review</w:t>
      </w:r>
    </w:p>
    <w:p>
      <w:pPr>
        <w:spacing w:after="140" w:line="300"/>
      </w:pPr>
      <w:r>
        <w:rPr>
          <w:color w:val="1E293B"/>
          <w:sz w:val="22"/>
          <w:szCs w:val="22"/>
        </w:rPr>
        <w:t xml:space="preserve">This policy applies to all employees of [COMPANY NAME], regardless of length of service or contract type.</w:t>
      </w:r>
    </w:p>
    <w:p>
      <w:pPr>
        <w:pStyle w:val="Heading2"/>
        <w:spacing w:after="120" w:before="320"/>
      </w:pPr>
      <w:r>
        <w:rPr>
          <w:b/>
          <w:bCs/>
          <w:color w:val="0F172A"/>
          <w:sz w:val="26"/>
          <w:szCs w:val="26"/>
        </w:rPr>
        <w:t xml:space="preserve">2. When return-to-work interviews are held</w:t>
      </w:r>
    </w:p>
    <w:p>
      <w:pPr>
        <w:spacing w:after="140" w:line="300"/>
      </w:pPr>
      <w:r>
        <w:rPr>
          <w:color w:val="1E293B"/>
          <w:sz w:val="22"/>
          <w:szCs w:val="22"/>
        </w:rPr>
        <w:t xml:space="preserve">A return-to-work interview will be held following every period of sickness absence, including a single day of self-certified absence. The interview should take place on the employee's first day back at work, or as soon as practical thereafter, and within five working days of return.</w:t>
      </w:r>
    </w:p>
    <w:p>
      <w:pPr>
        <w:spacing w:after="140" w:line="300"/>
      </w:pPr>
      <w:r>
        <w:rPr>
          <w:color w:val="1E293B"/>
          <w:sz w:val="22"/>
          <w:szCs w:val="22"/>
        </w:rPr>
        <w:t xml:space="preserve">If the line manager is not available on the day of return, a designated alternative manager will conduct the interview to avoid delay.</w:t>
      </w:r>
    </w:p>
    <w:p>
      <w:pPr>
        <w:pStyle w:val="Heading2"/>
        <w:spacing w:after="120" w:before="320"/>
      </w:pPr>
      <w:r>
        <w:rPr>
          <w:b/>
          <w:bCs/>
          <w:color w:val="0F172A"/>
          <w:sz w:val="26"/>
          <w:szCs w:val="26"/>
        </w:rPr>
        <w:t xml:space="preserve">3. Who conducts the interview</w:t>
      </w:r>
    </w:p>
    <w:p>
      <w:pPr>
        <w:spacing w:after="140" w:line="300"/>
      </w:pPr>
      <w:r>
        <w:rPr>
          <w:color w:val="1E293B"/>
          <w:sz w:val="22"/>
          <w:szCs w:val="22"/>
        </w:rPr>
        <w:t xml:space="preserve">The interview is normally conducted by the employee's direct line manager, who is best placed to discuss the work itself and any adjustments needed. In the following situations, HR (or a more senior manager) may attend or conduct the interview:</w:t>
      </w:r>
    </w:p>
    <w:p>
      <w:pPr>
        <w:pStyle w:val="ListParagraph"/>
        <w:numPr>
          <w:ilvl w:val="0"/>
          <w:numId w:val="2"/>
        </w:numPr>
        <w:spacing w:after="80" w:line="290"/>
      </w:pPr>
      <w:r>
        <w:rPr>
          <w:color w:val="1E293B"/>
          <w:sz w:val="22"/>
          <w:szCs w:val="22"/>
        </w:rPr>
        <w:t xml:space="preserve">The absence was for more than four weeks continuously</w:t>
      </w:r>
    </w:p>
    <w:p>
      <w:pPr>
        <w:pStyle w:val="ListParagraph"/>
        <w:numPr>
          <w:ilvl w:val="0"/>
          <w:numId w:val="2"/>
        </w:numPr>
        <w:spacing w:after="80" w:line="290"/>
      </w:pPr>
      <w:r>
        <w:rPr>
          <w:color w:val="1E293B"/>
          <w:sz w:val="22"/>
          <w:szCs w:val="22"/>
        </w:rPr>
        <w:t xml:space="preserve">The absence relates to a long-term health condition or possible disability under the Equality Act 2010</w:t>
      </w:r>
    </w:p>
    <w:p>
      <w:pPr>
        <w:pStyle w:val="ListParagraph"/>
        <w:numPr>
          <w:ilvl w:val="0"/>
          <w:numId w:val="2"/>
        </w:numPr>
        <w:spacing w:after="80" w:line="290"/>
      </w:pPr>
      <w:r>
        <w:rPr>
          <w:color w:val="1E293B"/>
          <w:sz w:val="22"/>
          <w:szCs w:val="22"/>
        </w:rPr>
        <w:t xml:space="preserve">There are pattern concerns and a formal absence review is being considered</w:t>
      </w:r>
    </w:p>
    <w:p>
      <w:pPr>
        <w:pStyle w:val="ListParagraph"/>
        <w:numPr>
          <w:ilvl w:val="0"/>
          <w:numId w:val="2"/>
        </w:numPr>
        <w:spacing w:after="80" w:line="290"/>
      </w:pPr>
      <w:r>
        <w:rPr>
          <w:color w:val="1E293B"/>
          <w:sz w:val="22"/>
          <w:szCs w:val="22"/>
        </w:rPr>
        <w:t xml:space="preserve">The employee specifically requests HR involvement</w:t>
      </w:r>
    </w:p>
    <w:p>
      <w:pPr>
        <w:spacing w:after="140" w:line="300"/>
      </w:pPr>
      <w:r>
        <w:rPr>
          <w:color w:val="1E293B"/>
          <w:sz w:val="22"/>
          <w:szCs w:val="22"/>
        </w:rPr>
        <w:t xml:space="preserve">The interview is supportive in tone and is not a disciplinary meeting. If genuine misconduct concerns arise (for example, suspected dishonest absence), they will be addressed through the separate Disciplinary Procedure.</w:t>
      </w:r>
    </w:p>
    <w:p>
      <w:pPr>
        <w:pStyle w:val="Heading2"/>
        <w:spacing w:after="120" w:before="320"/>
      </w:pPr>
      <w:r>
        <w:rPr>
          <w:b/>
          <w:bCs/>
          <w:color w:val="0F172A"/>
          <w:sz w:val="26"/>
          <w:szCs w:val="26"/>
        </w:rPr>
        <w:t xml:space="preserve">4. How the interview is conducted</w:t>
      </w:r>
    </w:p>
    <w:p>
      <w:pPr>
        <w:spacing w:after="140" w:line="300"/>
      </w:pPr>
      <w:r>
        <w:rPr>
          <w:color w:val="1E293B"/>
          <w:sz w:val="22"/>
          <w:szCs w:val="22"/>
        </w:rPr>
        <w:t xml:space="preserve">The interview will be held privately and confidentially, in person where possible, or by video call for remote workers. It is expected to last 10 to 30 minutes. Employees are not entitled to be accompanied at a routine return-to-work interview, but accompaniment will be allowed on request where:</w:t>
      </w:r>
    </w:p>
    <w:p>
      <w:pPr>
        <w:pStyle w:val="ListParagraph"/>
        <w:numPr>
          <w:ilvl w:val="0"/>
          <w:numId w:val="2"/>
        </w:numPr>
        <w:spacing w:after="80" w:line="290"/>
      </w:pPr>
      <w:r>
        <w:rPr>
          <w:color w:val="1E293B"/>
          <w:sz w:val="22"/>
          <w:szCs w:val="22"/>
        </w:rPr>
        <w:t xml:space="preserve">The absence has been long-term</w:t>
      </w:r>
    </w:p>
    <w:p>
      <w:pPr>
        <w:pStyle w:val="ListParagraph"/>
        <w:numPr>
          <w:ilvl w:val="0"/>
          <w:numId w:val="2"/>
        </w:numPr>
        <w:spacing w:after="80" w:line="290"/>
      </w:pPr>
      <w:r>
        <w:rPr>
          <w:color w:val="1E293B"/>
          <w:sz w:val="22"/>
          <w:szCs w:val="22"/>
        </w:rPr>
        <w:t xml:space="preserve">The employee has a disability and reasonable adjustments need to be discussed</w:t>
      </w:r>
    </w:p>
    <w:p>
      <w:pPr>
        <w:pStyle w:val="ListParagraph"/>
        <w:numPr>
          <w:ilvl w:val="0"/>
          <w:numId w:val="2"/>
        </w:numPr>
        <w:spacing w:after="80" w:line="290"/>
      </w:pPr>
      <w:r>
        <w:rPr>
          <w:color w:val="1E293B"/>
          <w:sz w:val="22"/>
          <w:szCs w:val="22"/>
        </w:rPr>
        <w:t xml:space="preserve">A formal absence review is being initiated as a result of the meeting</w:t>
      </w:r>
    </w:p>
    <w:p>
      <w:pPr>
        <w:spacing w:after="140" w:line="300"/>
      </w:pPr>
      <w:r>
        <w:rPr>
          <w:color w:val="1E293B"/>
          <w:sz w:val="22"/>
          <w:szCs w:val="22"/>
        </w:rPr>
        <w:t xml:space="preserve">Managers will allow time for the employee to speak openly and will not pressure them into disclosing medical detail beyond what is needed to agree adjustments.</w:t>
      </w:r>
    </w:p>
    <w:p>
      <w:pPr>
        <w:pStyle w:val="Heading2"/>
        <w:spacing w:after="120" w:before="320"/>
      </w:pPr>
      <w:r>
        <w:rPr>
          <w:b/>
          <w:bCs/>
          <w:color w:val="0F172A"/>
          <w:sz w:val="26"/>
          <w:szCs w:val="26"/>
        </w:rPr>
        <w:t xml:space="preserve">5. Topics covered</w:t>
      </w:r>
    </w:p>
    <w:p>
      <w:pPr>
        <w:spacing w:after="140" w:line="300"/>
      </w:pPr>
      <w:r>
        <w:rPr>
          <w:color w:val="1E293B"/>
          <w:sz w:val="22"/>
          <w:szCs w:val="22"/>
        </w:rPr>
        <w:t xml:space="preserve">The interview should cover the following areas, in line with ACAS guidance:</w:t>
      </w:r>
    </w:p>
    <w:p>
      <w:pPr>
        <w:pStyle w:val="ListParagraph"/>
        <w:numPr>
          <w:ilvl w:val="0"/>
          <w:numId w:val="2"/>
        </w:numPr>
        <w:spacing w:after="80" w:line="290"/>
      </w:pPr>
      <w:r>
        <w:rPr>
          <w:color w:val="1E293B"/>
          <w:sz w:val="22"/>
          <w:szCs w:val="22"/>
        </w:rPr>
        <w:t xml:space="preserve">How the employee is feeling now and whether they feel ready to return</w:t>
      </w:r>
    </w:p>
    <w:p>
      <w:pPr>
        <w:pStyle w:val="ListParagraph"/>
        <w:numPr>
          <w:ilvl w:val="0"/>
          <w:numId w:val="2"/>
        </w:numPr>
        <w:spacing w:after="80" w:line="290"/>
      </w:pPr>
      <w:r>
        <w:rPr>
          <w:color w:val="1E293B"/>
          <w:sz w:val="22"/>
          <w:szCs w:val="22"/>
        </w:rPr>
        <w:t xml:space="preserve">The reason given for the absence (without requesting unnecessary medical detail)</w:t>
      </w:r>
    </w:p>
    <w:p>
      <w:pPr>
        <w:pStyle w:val="ListParagraph"/>
        <w:numPr>
          <w:ilvl w:val="0"/>
          <w:numId w:val="2"/>
        </w:numPr>
        <w:spacing w:after="80" w:line="290"/>
      </w:pPr>
      <w:r>
        <w:rPr>
          <w:color w:val="1E293B"/>
          <w:sz w:val="22"/>
          <w:szCs w:val="22"/>
        </w:rPr>
        <w:t xml:space="preserve">Any guidance from a fit note or healthcare provider</w:t>
      </w:r>
    </w:p>
    <w:p>
      <w:pPr>
        <w:pStyle w:val="ListParagraph"/>
        <w:numPr>
          <w:ilvl w:val="0"/>
          <w:numId w:val="2"/>
        </w:numPr>
        <w:spacing w:after="80" w:line="290"/>
      </w:pPr>
      <w:r>
        <w:rPr>
          <w:color w:val="1E293B"/>
          <w:sz w:val="22"/>
          <w:szCs w:val="22"/>
        </w:rPr>
        <w:t xml:space="preserve">Whether the absence may relate to work-related factors (workload, working environment, stress, harassment)</w:t>
      </w:r>
    </w:p>
    <w:p>
      <w:pPr>
        <w:pStyle w:val="ListParagraph"/>
        <w:numPr>
          <w:ilvl w:val="0"/>
          <w:numId w:val="2"/>
        </w:numPr>
        <w:spacing w:after="80" w:line="290"/>
      </w:pPr>
      <w:r>
        <w:rPr>
          <w:color w:val="1E293B"/>
          <w:sz w:val="22"/>
          <w:szCs w:val="22"/>
        </w:rPr>
        <w:t xml:space="preserve">Whether reasonable adjustments are needed, either temporarily or permanently</w:t>
      </w:r>
    </w:p>
    <w:p>
      <w:pPr>
        <w:pStyle w:val="ListParagraph"/>
        <w:numPr>
          <w:ilvl w:val="0"/>
          <w:numId w:val="2"/>
        </w:numPr>
        <w:spacing w:after="80" w:line="290"/>
      </w:pPr>
      <w:r>
        <w:rPr>
          <w:color w:val="1E293B"/>
          <w:sz w:val="22"/>
          <w:szCs w:val="22"/>
        </w:rPr>
        <w:t xml:space="preserve">Updates on work, team changes, deadlines, or training the employee missed</w:t>
      </w:r>
    </w:p>
    <w:p>
      <w:pPr>
        <w:pStyle w:val="ListParagraph"/>
        <w:numPr>
          <w:ilvl w:val="0"/>
          <w:numId w:val="2"/>
        </w:numPr>
        <w:spacing w:after="80" w:line="290"/>
      </w:pPr>
      <w:r>
        <w:rPr>
          <w:color w:val="1E293B"/>
          <w:sz w:val="22"/>
          <w:szCs w:val="22"/>
        </w:rPr>
        <w:t xml:space="preserve">What colleagues should and should not be told about the absence</w:t>
      </w:r>
    </w:p>
    <w:p>
      <w:pPr>
        <w:pStyle w:val="ListParagraph"/>
        <w:numPr>
          <w:ilvl w:val="0"/>
          <w:numId w:val="2"/>
        </w:numPr>
        <w:spacing w:after="80" w:line="290"/>
      </w:pPr>
      <w:r>
        <w:rPr>
          <w:color w:val="1E293B"/>
          <w:sz w:val="22"/>
          <w:szCs w:val="22"/>
        </w:rPr>
        <w:t xml:space="preserve">Whether a referral to occupational health or the Access to Work scheme would help</w:t>
      </w:r>
    </w:p>
    <w:p>
      <w:pPr>
        <w:pStyle w:val="Heading2"/>
        <w:spacing w:after="120" w:before="320"/>
      </w:pPr>
      <w:r>
        <w:rPr>
          <w:b/>
          <w:bCs/>
          <w:color w:val="0F172A"/>
          <w:sz w:val="26"/>
          <w:szCs w:val="26"/>
        </w:rPr>
        <w:t xml:space="preserve">6. Reasonable adjustments</w:t>
      </w:r>
    </w:p>
    <w:p>
      <w:pPr>
        <w:spacing w:after="140" w:line="300"/>
      </w:pPr>
      <w:r>
        <w:rPr>
          <w:color w:val="1E293B"/>
          <w:sz w:val="22"/>
          <w:szCs w:val="22"/>
        </w:rPr>
        <w:t xml:space="preserve">Where the employee has, or may have, a disability under the Equality Act 2010, [COMPANY NAME] has a legal duty to consider reasonable adjustments. The interview is the appropriate place to identify and agree these. Adjustments may include:</w:t>
      </w:r>
    </w:p>
    <w:p>
      <w:pPr>
        <w:pStyle w:val="ListParagraph"/>
        <w:numPr>
          <w:ilvl w:val="0"/>
          <w:numId w:val="2"/>
        </w:numPr>
        <w:spacing w:after="80" w:line="290"/>
      </w:pPr>
      <w:r>
        <w:rPr>
          <w:color w:val="1E293B"/>
          <w:sz w:val="22"/>
          <w:szCs w:val="22"/>
        </w:rPr>
        <w:t xml:space="preserve">A phased return to work over an agreed period</w:t>
      </w:r>
    </w:p>
    <w:p>
      <w:pPr>
        <w:pStyle w:val="ListParagraph"/>
        <w:numPr>
          <w:ilvl w:val="0"/>
          <w:numId w:val="2"/>
        </w:numPr>
        <w:spacing w:after="80" w:line="290"/>
      </w:pPr>
      <w:r>
        <w:rPr>
          <w:color w:val="1E293B"/>
          <w:sz w:val="22"/>
          <w:szCs w:val="22"/>
        </w:rPr>
        <w:t xml:space="preserve">Temporary or permanent changes to working hours, shift pattern, or duties</w:t>
      </w:r>
    </w:p>
    <w:p>
      <w:pPr>
        <w:pStyle w:val="ListParagraph"/>
        <w:numPr>
          <w:ilvl w:val="0"/>
          <w:numId w:val="2"/>
        </w:numPr>
        <w:spacing w:after="80" w:line="290"/>
      </w:pPr>
      <w:r>
        <w:rPr>
          <w:color w:val="1E293B"/>
          <w:sz w:val="22"/>
          <w:szCs w:val="22"/>
        </w:rPr>
        <w:t xml:space="preserve">Changes to the workstation, equipment, or working environment</w:t>
      </w:r>
    </w:p>
    <w:p>
      <w:pPr>
        <w:pStyle w:val="ListParagraph"/>
        <w:numPr>
          <w:ilvl w:val="0"/>
          <w:numId w:val="2"/>
        </w:numPr>
        <w:spacing w:after="80" w:line="290"/>
      </w:pPr>
      <w:r>
        <w:rPr>
          <w:color w:val="1E293B"/>
          <w:sz w:val="22"/>
          <w:szCs w:val="22"/>
        </w:rPr>
        <w:t xml:space="preserve">More frequent breaks, or modified targets during a recovery period</w:t>
      </w:r>
    </w:p>
    <w:p>
      <w:pPr>
        <w:pStyle w:val="ListParagraph"/>
        <w:numPr>
          <w:ilvl w:val="0"/>
          <w:numId w:val="2"/>
        </w:numPr>
        <w:spacing w:after="80" w:line="290"/>
      </w:pPr>
      <w:r>
        <w:rPr>
          <w:color w:val="1E293B"/>
          <w:sz w:val="22"/>
          <w:szCs w:val="22"/>
        </w:rPr>
        <w:t xml:space="preserve">Time off for medical appointments related to the condition</w:t>
      </w:r>
    </w:p>
    <w:p>
      <w:pPr>
        <w:spacing w:after="140" w:line="300"/>
      </w:pPr>
      <w:r>
        <w:rPr>
          <w:color w:val="1E293B"/>
          <w:sz w:val="22"/>
          <w:szCs w:val="22"/>
        </w:rPr>
        <w:t xml:space="preserve">If specialist input is needed, the manager will arrange a referral to occupational health or signpost the employee to the Access to Work scheme. Adjustments agreed at the interview will be confirmed in writing and reviewed at an agreed date.</w:t>
      </w:r>
    </w:p>
    <w:p>
      <w:pPr>
        <w:pStyle w:val="Heading2"/>
        <w:spacing w:after="120" w:before="320"/>
      </w:pPr>
      <w:r>
        <w:rPr>
          <w:b/>
          <w:bCs/>
          <w:color w:val="0F172A"/>
          <w:sz w:val="26"/>
          <w:szCs w:val="26"/>
        </w:rPr>
        <w:t xml:space="preserve">7. Recording the interview</w:t>
      </w:r>
    </w:p>
    <w:p>
      <w:pPr>
        <w:spacing w:after="140" w:line="300"/>
      </w:pPr>
      <w:r>
        <w:rPr>
          <w:color w:val="1E293B"/>
          <w:sz w:val="22"/>
          <w:szCs w:val="22"/>
        </w:rPr>
        <w:t xml:space="preserve">The line manager will complete the standard return-to-work interview form for every interview. The form records the absence dates, the reason given, any adjustments agreed, and the manager's signature. The employee will be invited to sign the form to confirm the discussion took place but signing is not a condition of returning to work.</w:t>
      </w:r>
    </w:p>
    <w:p>
      <w:pPr>
        <w:spacing w:after="140" w:line="300"/>
      </w:pPr>
      <w:r>
        <w:rPr>
          <w:color w:val="1E293B"/>
          <w:sz w:val="22"/>
          <w:szCs w:val="22"/>
        </w:rPr>
        <w:t xml:space="preserve">Records are stored in the employee's HR file in line with [COMPANY NAME]'s Data Protection Policy and the UK GDPR. Health information is treated as special category data and access is limited to those with a legitimate need.</w:t>
      </w:r>
    </w:p>
    <w:p>
      <w:pPr>
        <w:pStyle w:val="Heading2"/>
        <w:spacing w:after="120" w:before="320"/>
      </w:pPr>
      <w:r>
        <w:rPr>
          <w:b/>
          <w:bCs/>
          <w:color w:val="0F172A"/>
          <w:sz w:val="26"/>
          <w:szCs w:val="26"/>
        </w:rPr>
        <w:t xml:space="preserve">8. Trigger points and the absence review</w:t>
      </w:r>
    </w:p>
    <w:p>
      <w:pPr>
        <w:spacing w:after="140" w:line="300"/>
      </w:pPr>
      <w:r>
        <w:rPr>
          <w:color w:val="1E293B"/>
          <w:sz w:val="22"/>
          <w:szCs w:val="22"/>
        </w:rPr>
        <w:t xml:space="preserve">Patterns of short-term absence are managed using the following trigger points within a rolling 12-month period:</w:t>
      </w:r>
    </w:p>
    <w:p>
      <w:pPr>
        <w:pStyle w:val="ListParagraph"/>
        <w:numPr>
          <w:ilvl w:val="0"/>
          <w:numId w:val="2"/>
        </w:numPr>
        <w:spacing w:after="80" w:line="290"/>
      </w:pPr>
      <w:r>
        <w:rPr>
          <w:color w:val="1E293B"/>
          <w:sz w:val="22"/>
          <w:szCs w:val="22"/>
        </w:rPr>
        <w:t xml:space="preserve">Three separate absences (any length): an informal supportive conversation</w:t>
      </w:r>
    </w:p>
    <w:p>
      <w:pPr>
        <w:pStyle w:val="ListParagraph"/>
        <w:numPr>
          <w:ilvl w:val="0"/>
          <w:numId w:val="2"/>
        </w:numPr>
        <w:spacing w:after="80" w:line="290"/>
      </w:pPr>
      <w:r>
        <w:rPr>
          <w:color w:val="1E293B"/>
          <w:sz w:val="22"/>
          <w:szCs w:val="22"/>
        </w:rPr>
        <w:t xml:space="preserve">Five separate absences, OR a continuous absence of four weeks: a formal absence review meeting</w:t>
      </w:r>
    </w:p>
    <w:p>
      <w:pPr>
        <w:pStyle w:val="ListParagraph"/>
        <w:numPr>
          <w:ilvl w:val="0"/>
          <w:numId w:val="2"/>
        </w:numPr>
        <w:spacing w:after="80" w:line="290"/>
      </w:pPr>
      <w:r>
        <w:rPr>
          <w:color w:val="1E293B"/>
          <w:sz w:val="22"/>
          <w:szCs w:val="22"/>
        </w:rPr>
        <w:t xml:space="preserve">A continuous absence of eight weeks or more: an occupational health referral and a formal review</w:t>
      </w:r>
    </w:p>
    <w:p>
      <w:pPr>
        <w:spacing w:after="140" w:line="300"/>
      </w:pPr>
      <w:r>
        <w:rPr>
          <w:color w:val="1E293B"/>
          <w:sz w:val="22"/>
          <w:szCs w:val="22"/>
        </w:rPr>
        <w:t xml:space="preserve">Trigger points are not automatic disciplinary thresholds. They are prompts for a fair and individual review. Reasonable adjustments and disability-related absence will be considered and discounted from triggers where appropriate.</w:t>
      </w:r>
    </w:p>
    <w:p>
      <w:pPr>
        <w:pStyle w:val="Heading2"/>
        <w:spacing w:after="120" w:before="320"/>
      </w:pPr>
      <w:r>
        <w:rPr>
          <w:b/>
          <w:bCs/>
          <w:color w:val="0F172A"/>
          <w:sz w:val="26"/>
          <w:szCs w:val="26"/>
        </w:rPr>
        <w:t xml:space="preserve">9. Policy review</w:t>
      </w:r>
    </w:p>
    <w:p>
      <w:pPr>
        <w:spacing w:after="140" w:line="300"/>
      </w:pPr>
      <w:r>
        <w:rPr>
          <w:color w:val="1E293B"/>
          <w:sz w:val="22"/>
          <w:szCs w:val="22"/>
        </w:rPr>
        <w:t xml:space="preserve">This policy will be reviewed every two years, or sooner if employment law or ACAS guidance changes. Comments and suggestions can be sent to [POLICY OWNER].</w:t>
      </w:r>
    </w:p>
    <w:p>
      <w:pPr>
        <w:spacing w:after="280" w:before="0"/>
      </w:pPr>
      <w:r>
        <w:t xml:space="preserve"/>
      </w:r>
    </w:p>
    <w:p>
      <w:pPr>
        <w:pBdr>
          <w:bottom w:val="single" w:color="E2E8F0" w:sz="8" w:space="1"/>
        </w:pBdr>
        <w:spacing w:after="200"/>
      </w:pPr>
      <w:r>
        <w:t xml:space="preserve"/>
      </w:r>
    </w:p>
    <w:p>
      <w:pPr>
        <w:pStyle w:val="Heading3"/>
        <w:spacing w:after="80" w:before="240"/>
      </w:pPr>
      <w:r>
        <w:rPr>
          <w:b/>
          <w:bCs/>
          <w:color w:val="0F172A"/>
          <w:sz w:val="22"/>
          <w:szCs w:val="22"/>
        </w:rPr>
        <w:t xml:space="preserve">Notes for the employer</w:t>
      </w:r>
    </w:p>
    <w:p>
      <w:pPr>
        <w:spacing w:after="100"/>
      </w:pPr>
      <w:r>
        <w:rPr>
          <w:i/>
          <w:iCs/>
          <w:color w:val="64748B"/>
          <w:sz w:val="20"/>
          <w:szCs w:val="20"/>
        </w:rPr>
        <w:t xml:space="preserve">This template is a starting point - read every clause and adapt it to fit your organisation, sector, and any union-recognition arrangements before issuing it. The trigger points in clause 8 (3, 5 and 4 weeks) are common in UK SMEs but you can change them; what matters is that they are applied consistently and fairly.</w:t>
      </w:r>
    </w:p>
    <w:p>
      <w:pPr>
        <w:spacing w:after="100"/>
      </w:pPr>
      <w:r>
        <w:rPr>
          <w:i/>
          <w:iCs/>
          <w:color w:val="64748B"/>
          <w:sz w:val="20"/>
          <w:szCs w:val="20"/>
        </w:rPr>
        <w:t xml:space="preserve">This template is provided for general information only and does not constitute legal advice. Where the situation involves potential discrimination, dismissal, or other legal risk, take advice from ACAS (0300 123 1100) or an employment solicitor before acting.</w:t>
      </w:r>
    </w:p>
    <w:p>
      <w:pPr>
        <w:spacing w:after="180" w:before="0"/>
      </w:pPr>
      <w:r>
        <w:t xml:space="preserve"/>
      </w:r>
    </w:p>
    <w:p>
      <w:pPr>
        <w:spacing w:after="140" w:line="300"/>
      </w:pPr>
      <w:r>
        <w:rPr>
          <w:i/>
          <w:iCs/>
          <w:color w:val="64748B"/>
          <w:sz w:val="18"/>
          <w:szCs w:val="18"/>
        </w:rPr>
        <w:t xml:space="preserve">Template by </w:t>
      </w:r>
      <w:r>
        <w:rPr>
          <w:b/>
          <w:bCs/>
          <w:i/>
          <w:iCs/>
          <w:color w:val="3B5BFF"/>
          <w:sz w:val="18"/>
          <w:szCs w:val="18"/>
        </w:rPr>
        <w:t xml:space="preserve">Book Time Off</w:t>
      </w:r>
      <w:r>
        <w:rPr>
          <w:i/>
          <w:iCs/>
          <w:color w:val="64748B"/>
          <w:sz w:val="18"/>
          <w:szCs w:val="18"/>
        </w:rPr>
        <w:t xml:space="preserve">  -  Leave management software for UK SMEs</w:t>
      </w:r>
    </w:p>
    <w:p>
      <w:pPr>
        <w:spacing w:after="100"/>
      </w:pPr>
      <w:r>
        <w:rPr>
          <w:i/>
          <w:iCs/>
          <w:color w:val="64748B"/>
          <w:sz w:val="20"/>
          <w:szCs w:val="20"/>
        </w:rPr>
        <w:t xml:space="preserve">book-time-off.com  -  £1 per user per month  -  30 days free, no card required</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center" w:pos="4500"/>
        <w:tab w:val="right" w:pos="9100"/>
      </w:tabs>
    </w:pPr>
    <w:r>
      <w:rPr>
        <w:color w:val="64748B"/>
        <w:sz w:val="18"/>
        <w:szCs w:val="18"/>
      </w:rPr>
      <w:t xml:space="preserve">[COMPANY NAME] - HR policy</w:t>
    </w:r>
    <w:r>
      <w:t xml:space="preserve">	</w:t>
    </w:r>
    <w:r>
      <w:rPr>
        <w:color w:val="64748B"/>
        <w:sz w:val="18"/>
        <w:szCs w:val="18"/>
      </w:rPr>
      <w:t xml:space="preserve">Page </w:t>
    </w:r>
    <w:r>
      <w:rPr>
        <w:color w:val="64748B"/>
        <w:sz w:val="18"/>
        <w:szCs w:val="18"/>
      </w:rPr>
      <w:fldChar w:fldCharType="begin"/>
      <w:instrText xml:space="preserve">PAGE</w:instrText>
      <w:fldChar w:fldCharType="separate"/>
      <w:fldChar w:fldCharType="end"/>
    </w:r>
    <w:r>
      <w:rPr>
        <w:color w:val="64748B"/>
        <w:sz w:val="18"/>
        <w:szCs w:val="18"/>
      </w:rPr>
      <w:t xml:space="preserve"> of </w:t>
    </w:r>
    <w:r>
      <w:rPr>
        <w:color w:val="64748B"/>
        <w:sz w:val="18"/>
        <w:szCs w:val="18"/>
      </w:rPr>
      <w:fldChar w:fldCharType="begin"/>
      <w:instrText xml:space="preserve">NUMPAGES</w:instrText>
      <w:fldChar w:fldCharType="separate"/>
      <w:fldChar w:fldCharType="end"/>
    </w:r>
    <w:r>
      <w:t xml:space="preserve">	</w:t>
    </w:r>
    <w:r>
      <w:rPr>
        <w:i/>
        <w:iCs/>
        <w:color w:val="64748B"/>
        <w:sz w:val="18"/>
        <w:szCs w:val="18"/>
      </w:rPr>
      <w:t xml:space="preserve">Template by Book Time Off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4748B"/>
        <w:sz w:val="18"/>
        <w:szCs w:val="18"/>
      </w:rPr>
      <w:t xml:space="preserve">Return-to-work interview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0F172A"/>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0F172A"/>
      <w:sz w:val="26"/>
      <w:szCs w:val="26"/>
    </w:rPr>
  </w:style>
  <w:style w:type="paragraph" w:styleId="Heading3">
    <w:name w:val="Heading 3"/>
    <w:basedOn w:val="Normal"/>
    <w:next w:val="Normal"/>
    <w:qFormat/>
    <w:pPr>
      <w:spacing w:after="80" w:before="240"/>
      <w:outlineLvl w:val="2"/>
    </w:pPr>
    <w:rPr>
      <w:rFonts w:ascii="Arial" w:cs="Arial" w:eastAsia="Arial" w:hAnsi="Arial"/>
      <w:b/>
      <w:bCs/>
      <w:color w:val="0F17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Return-to-work interview policy template</dc:title>
  <dc:creator>Book Time Off</dc:creator>
  <dc:description>A 9-clause sample return-to-work interview policy for UK employers</dc:description>
  <cp:lastModifiedBy>Un-named</cp:lastModifiedBy>
  <cp:revision>1</cp:revision>
  <dcterms:created xsi:type="dcterms:W3CDTF">2026-05-05T17:57:05.220Z</dcterms:created>
  <dcterms:modified xsi:type="dcterms:W3CDTF">2026-05-05T17:57:05.220Z</dcterms:modified>
</cp:coreProperties>
</file>

<file path=docProps/custom.xml><?xml version="1.0" encoding="utf-8"?>
<Properties xmlns="http://schemas.openxmlformats.org/officeDocument/2006/custom-properties" xmlns:vt="http://schemas.openxmlformats.org/officeDocument/2006/docPropsVTypes"/>
</file>