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172A"/>
          <w:sz w:val="32"/>
        </w:rPr>
        <w:t>RELIGIOUS HOLIDAYS AND OBSERVANCE POLICY</w:t>
      </w:r>
    </w:p>
    <w:p>
      <w:pPr>
        <w:jc w:val="center"/>
      </w:pPr>
      <w:r>
        <w:rPr>
          <w:color w:val="64748B"/>
          <w:sz w:val="22"/>
        </w:rPr>
        <w:t>Employee Handbook Clause</w:t>
      </w:r>
    </w:p>
    <w:p/>
    <w:tbl>
      <w:tblPr>
        <w:tblStyle w:val="TableGrid"/>
        <w:tblW w:type="auto" w:w="0"/>
        <w:tblLook w:firstColumn="1" w:firstRow="1" w:lastColumn="0" w:lastRow="0" w:noHBand="0" w:noVBand="1" w:val="04A0"/>
      </w:tblPr>
      <w:tblGrid>
        <w:gridCol w:w="4680"/>
        <w:gridCol w:w="4680"/>
      </w:tblGrid>
      <w:tr>
        <w:tc>
          <w:tcPr>
            <w:tcW w:type="dxa" w:w="4680"/>
          </w:tcPr>
          <w:p>
            <w:r>
              <w:t>Company name</w:t>
            </w:r>
          </w:p>
        </w:tc>
        <w:tc>
          <w:tcPr>
            <w:tcW w:type="dxa" w:w="4680"/>
          </w:tcPr>
          <w:p>
            <w:r>
              <w:rPr>
                <w:b/>
                <w:color w:val="2B4BFF"/>
              </w:rPr>
              <w:t>[Company name]</w:t>
            </w:r>
          </w:p>
        </w:tc>
      </w:tr>
      <w:tr>
        <w:tc>
          <w:tcPr>
            <w:tcW w:type="dxa" w:w="4680"/>
          </w:tcPr>
          <w:p>
            <w:r>
              <w:t>Version</w:t>
            </w:r>
          </w:p>
        </w:tc>
        <w:tc>
          <w:tcPr>
            <w:tcW w:type="dxa" w:w="4680"/>
          </w:tcPr>
          <w:p>
            <w:r>
              <w:rPr>
                <w:b/>
                <w:color w:val="2B4BFF"/>
              </w:rPr>
              <w:t>[1.0]</w:t>
            </w:r>
          </w:p>
        </w:tc>
      </w:tr>
      <w:tr>
        <w:tc>
          <w:tcPr>
            <w:tcW w:type="dxa" w:w="4680"/>
          </w:tcPr>
          <w:p>
            <w:r>
              <w:t>Date issued</w:t>
            </w:r>
          </w:p>
        </w:tc>
        <w:tc>
          <w:tcPr>
            <w:tcW w:type="dxa" w:w="4680"/>
          </w:tcPr>
          <w:p>
            <w:r>
              <w:rPr>
                <w:b/>
                <w:color w:val="2B4BFF"/>
              </w:rPr>
              <w:t>[date]</w:t>
            </w:r>
          </w:p>
        </w:tc>
      </w:tr>
      <w:tr>
        <w:tc>
          <w:tcPr>
            <w:tcW w:type="dxa" w:w="4680"/>
          </w:tcPr>
          <w:p>
            <w:r>
              <w:t>Next review</w:t>
            </w:r>
          </w:p>
        </w:tc>
        <w:tc>
          <w:tcPr>
            <w:tcW w:type="dxa" w:w="4680"/>
          </w:tcPr>
          <w:p>
            <w:r>
              <w:rPr>
                <w:b/>
                <w:color w:val="2B4BFF"/>
              </w:rPr>
              <w:t>[date]</w:t>
            </w:r>
          </w:p>
        </w:tc>
      </w:tr>
    </w:tbl>
    <w:p/>
    <w:p>
      <w:r>
        <w:rPr>
          <w:i/>
          <w:color w:val="64748B"/>
          <w:sz w:val="20"/>
        </w:rPr>
        <w:t>This is a template. Fill in all bracketed fields and delete all drafting notes before issuing. This document does not constitute legal advice. For complex matters, consult ACAS (acas.org.uk) or an employment solicitor.</w:t>
      </w:r>
    </w:p>
    <w:p/>
    <w:p>
      <w:pPr>
        <w:pStyle w:val="Heading2"/>
        <w:jc w:val="left"/>
      </w:pPr>
      <w:r>
        <w:t>1. Purpose and scope</w:t>
      </w:r>
    </w:p>
    <w:p>
      <w:r>
        <w:rPr>
          <w:color w:val="334155"/>
        </w:rPr>
        <w:t xml:space="preserve">This policy sets out how </w:t>
      </w:r>
      <w:r>
        <w:rPr>
          <w:b/>
          <w:color w:val="2B4BFF"/>
        </w:rPr>
        <w:t>[Company name]</w:t>
      </w:r>
      <w:r>
        <w:rPr>
          <w:color w:val="334155"/>
        </w:rPr>
        <w:t xml:space="preserve"> handles requests for time off for religious holidays, festivals, and observances. It applies to all employees and workers regardless of religion, belief, or absence of belief. It is read alongside the Annual Leave Policy and in accordance with the Equality Act 2010. This policy cannot reduce any statutory entitlement.</w:t>
      </w:r>
    </w:p>
    <w:p>
      <w:pPr>
        <w:ind w:left="283"/>
        <w:shd w:val="clear" w:color="auto" w:fill="FEF3C7"/>
      </w:pPr>
      <w:r>
        <w:rPr>
          <w:i/>
          <w:color w:val="78350F"/>
          <w:sz w:val="20"/>
        </w:rPr>
        <w:t>Drafting note: Remove the reference to the Annual Leave Policy cross-reference if you do not have a standalone Annual Leave Policy. Delete this note before issuing.</w:t>
      </w:r>
    </w:p>
    <w:p>
      <w:pPr>
        <w:pStyle w:val="Heading2"/>
        <w:jc w:val="left"/>
      </w:pPr>
      <w:r>
        <w:t>2. Legal framework</w:t>
      </w:r>
    </w:p>
    <w:p>
      <w:r>
        <w:rPr>
          <w:color w:val="334155"/>
        </w:rPr>
        <w:t xml:space="preserve">Religion and belief are protected characteristics under the Equality Act 2010, section 10. </w:t>
      </w:r>
      <w:r>
        <w:rPr>
          <w:b/>
          <w:color w:val="2B4BFF"/>
        </w:rPr>
        <w:t>[Company name]</w:t>
      </w:r>
      <w:r>
        <w:rPr>
          <w:color w:val="334155"/>
        </w:rPr>
        <w:t xml:space="preserve"> will not discriminate directly or indirectly against any employee because of their religion or belief, or lack of religion or belief. Every request for time off for religious observance will receive proper consideration regardless of the faith involved. The same standards of consideration apply to requests from employees of all religions and those with no religious belief.</w:t>
      </w:r>
    </w:p>
    <w:p>
      <w:pPr>
        <w:ind w:left="283"/>
        <w:shd w:val="clear" w:color="auto" w:fill="FEF3C7"/>
      </w:pPr>
      <w:r>
        <w:rPr>
          <w:i/>
          <w:color w:val="78350F"/>
          <w:sz w:val="20"/>
        </w:rPr>
        <w:t>Drafting note: The reference to 'or lack of religion or belief' is important: the Equality Act 2010 protects workers with no religion from less favourable treatment just as much as it protects workers with a religion. Delete this note before issuing.</w:t>
      </w:r>
    </w:p>
    <w:p>
      <w:pPr>
        <w:pStyle w:val="Heading2"/>
        <w:jc w:val="left"/>
      </w:pPr>
      <w:r>
        <w:t>3. Annual leave for religious observances</w:t>
      </w:r>
    </w:p>
    <w:p>
      <w:r>
        <w:rPr>
          <w:color w:val="334155"/>
        </w:rPr>
        <w:t xml:space="preserve">Employees may use their statutory or contractual annual leave entitlement to observe religious holidays and festivals. Requests should be submitted using the standard leave request procedure with as much notice as possible, and at least </w:t>
      </w:r>
      <w:r>
        <w:rPr>
          <w:b/>
          <w:color w:val="2B4BFF"/>
        </w:rPr>
        <w:t>[X weeks']</w:t>
      </w:r>
      <w:r>
        <w:rPr>
          <w:color w:val="334155"/>
        </w:rPr>
        <w:t xml:space="preserve"> notice wherever reasonably practicable. Requests will be considered in accordance with the same criteria as any other annual leave request, including available staffing cover and team requirements. A request will not be refused solely because it is made for a religious reason.</w:t>
      </w:r>
    </w:p>
    <w:p>
      <w:pPr>
        <w:ind w:left="283"/>
        <w:shd w:val="clear" w:color="auto" w:fill="FEF3C7"/>
      </w:pPr>
      <w:r>
        <w:rPr>
          <w:i/>
          <w:color w:val="78350F"/>
          <w:sz w:val="20"/>
        </w:rPr>
        <w:t>Drafting note: Insert your normal leave notice period (usually two to four weeks for planned leave). The last sentence is important: a refusal must have a documented, non-discriminatory business reason. Delete this note before issuing.</w:t>
      </w:r>
    </w:p>
    <w:p>
      <w:pPr>
        <w:pStyle w:val="Heading2"/>
        <w:jc w:val="left"/>
      </w:pPr>
      <w:r>
        <w:t>4. Unpaid leave for religious observances</w:t>
      </w:r>
    </w:p>
    <w:p>
      <w:r>
        <w:rPr>
          <w:color w:val="334155"/>
        </w:rPr>
        <w:t xml:space="preserve">Where an employee has exhausted their annual leave allowance and wishes to observe a religious festival or holy day, </w:t>
      </w:r>
      <w:r>
        <w:rPr>
          <w:b/>
          <w:color w:val="2B4BFF"/>
        </w:rPr>
        <w:t>[Company name]</w:t>
      </w:r>
      <w:r>
        <w:rPr>
          <w:color w:val="334155"/>
        </w:rPr>
        <w:t xml:space="preserve"> </w:t>
      </w:r>
      <w:r>
        <w:rPr>
          <w:b/>
          <w:color w:val="2B4BFF"/>
        </w:rPr>
        <w:t>[will consider / will sympathetically consider]</w:t>
      </w:r>
      <w:r>
        <w:rPr>
          <w:color w:val="334155"/>
        </w:rPr>
        <w:t xml:space="preserve"> requests for unpaid leave. There is no statutory right to unpaid leave for religious purposes. Any grant of unpaid leave is at the discretion of </w:t>
      </w:r>
      <w:r>
        <w:rPr>
          <w:b/>
          <w:color w:val="2B4BFF"/>
        </w:rPr>
        <w:t>[Company name]</w:t>
      </w:r>
      <w:r>
        <w:rPr>
          <w:color w:val="334155"/>
        </w:rPr>
        <w:t xml:space="preserve">, subject to business requirements. Unpaid religious leave </w:t>
      </w:r>
      <w:r>
        <w:rPr>
          <w:b/>
          <w:color w:val="2B4BFF"/>
        </w:rPr>
        <w:t>[will / will not]</w:t>
      </w:r>
      <w:r>
        <w:rPr>
          <w:color w:val="334155"/>
        </w:rPr>
        <w:t xml:space="preserve"> count as a period of employment for the purposes of continuity of service and statutory rights.</w:t>
      </w:r>
    </w:p>
    <w:p>
      <w:pPr>
        <w:ind w:left="283"/>
        <w:shd w:val="clear" w:color="auto" w:fill="FEF3C7"/>
      </w:pPr>
      <w:r>
        <w:rPr>
          <w:i/>
          <w:color w:val="78350F"/>
          <w:sz w:val="20"/>
        </w:rPr>
        <w:t>Drafting note: There is no legal obligation to grant unpaid religious leave. The choice between 'will consider' and 'will sympathetically consider' affects tone but not legal position. If you allow unpaid leave, decide whether it counts towards continuity of service and state that explicitly. Delete this note before issuing.</w:t>
      </w:r>
    </w:p>
    <w:p>
      <w:pPr>
        <w:pStyle w:val="Heading2"/>
        <w:jc w:val="left"/>
      </w:pPr>
      <w:r>
        <w:t>5. Prayer time and daily observance</w:t>
      </w:r>
    </w:p>
    <w:p>
      <w:r>
        <w:rPr>
          <w:color w:val="334155"/>
        </w:rPr>
        <w:t xml:space="preserve">Prayer or other acts of daily religious observance are not classified as leave. Where an employee needs time during the working day for prayer or brief observance, </w:t>
      </w:r>
      <w:r>
        <w:rPr>
          <w:b/>
          <w:color w:val="2B4BFF"/>
        </w:rPr>
        <w:t>[Company name]</w:t>
      </w:r>
      <w:r>
        <w:rPr>
          <w:color w:val="334155"/>
        </w:rPr>
        <w:t xml:space="preserve"> </w:t>
      </w:r>
      <w:r>
        <w:rPr>
          <w:b/>
          <w:color w:val="2B4BFF"/>
        </w:rPr>
        <w:t>[will / will where reasonably practicable]</w:t>
      </w:r>
      <w:r>
        <w:rPr>
          <w:color w:val="334155"/>
        </w:rPr>
        <w:t xml:space="preserve"> accommodate this through flexible break scheduling, adjusted start or finish times, or other arrangements agreed between the employee and their manager. The employee will work the same total contracted hours. Requests should be raised with the employee's line manager in advance so that suitable arrangements can be made. </w:t>
      </w:r>
      <w:r>
        <w:rPr>
          <w:b/>
          <w:color w:val="2B4BFF"/>
        </w:rPr>
        <w:t>[Company name]</w:t>
      </w:r>
      <w:r>
        <w:rPr>
          <w:color w:val="334155"/>
        </w:rPr>
        <w:t xml:space="preserve"> </w:t>
      </w:r>
      <w:r>
        <w:rPr>
          <w:b/>
          <w:color w:val="2B4BFF"/>
        </w:rPr>
        <w:t>[will endeavour to / will where available]</w:t>
      </w:r>
      <w:r>
        <w:rPr>
          <w:color w:val="334155"/>
        </w:rPr>
        <w:t xml:space="preserve"> provide a quiet space for prayer or reflection where this is practicable given the workplace environment.</w:t>
      </w:r>
    </w:p>
    <w:p>
      <w:pPr>
        <w:ind w:left="283"/>
        <w:shd w:val="clear" w:color="auto" w:fill="FEF3C7"/>
      </w:pPr>
      <w:r>
        <w:rPr>
          <w:i/>
          <w:color w:val="78350F"/>
          <w:sz w:val="20"/>
        </w:rPr>
        <w:t>Drafting note: There is no legal obligation to provide a prayer room or designated prayer facilities. However, outright refusal of a reasonable request for flexible break times risks indirect discrimination. Choose the options that fit your workplace. Delete this note before issuing.</w:t>
      </w:r>
    </w:p>
    <w:p>
      <w:pPr>
        <w:pStyle w:val="Heading2"/>
        <w:jc w:val="left"/>
      </w:pPr>
      <w:r>
        <w:t>6. Equal treatment and competing requests</w:t>
      </w:r>
    </w:p>
    <w:p>
      <w:r>
        <w:rPr>
          <w:color w:val="334155"/>
        </w:rPr>
        <w:t xml:space="preserve">Requests for time off for religious observances are treated in the same way as all other leave requests. </w:t>
      </w:r>
      <w:r>
        <w:rPr>
          <w:b/>
          <w:color w:val="2B4BFF"/>
        </w:rPr>
        <w:t>[Company name]</w:t>
      </w:r>
      <w:r>
        <w:rPr>
          <w:color w:val="334155"/>
        </w:rPr>
        <w:t xml:space="preserve"> does not give automatic priority to requests made for religious reasons, nor does it treat requests for religious leave less favourably than requests made for non-religious reasons. Where two or more employees request the same period of leave and only one can be accommodated, decisions will be made on the basis of </w:t>
      </w:r>
      <w:r>
        <w:rPr>
          <w:b/>
          <w:color w:val="2B4BFF"/>
        </w:rPr>
        <w:t>[arrival order of the request / a fair rotation agreed with the team / other documented objective criterion]</w:t>
      </w:r>
      <w:r>
        <w:rPr>
          <w:color w:val="334155"/>
        </w:rPr>
        <w:t>. A record of the reason for each approval and refusal will be kept.</w:t>
      </w:r>
    </w:p>
    <w:p>
      <w:pPr>
        <w:ind w:left="283"/>
        <w:shd w:val="clear" w:color="auto" w:fill="FEF3C7"/>
      </w:pPr>
      <w:r>
        <w:rPr>
          <w:i/>
          <w:color w:val="78350F"/>
          <w:sz w:val="20"/>
        </w:rPr>
        <w:t>Drafting note: Choose the tie-breaking criterion that fits your business. Arrival order is the most common and most defensible. Whatever you choose, apply it consistently. Delete this note before issuing.</w:t>
      </w:r>
    </w:p>
    <w:p>
      <w:pPr>
        <w:pStyle w:val="Heading2"/>
        <w:jc w:val="left"/>
      </w:pPr>
      <w:r>
        <w:t>7. Refusals and appeals</w:t>
      </w:r>
    </w:p>
    <w:p>
      <w:r>
        <w:rPr>
          <w:color w:val="334155"/>
        </w:rPr>
        <w:t xml:space="preserve">Where a request for leave is refused, the employee will be given the reason for the refusal in writing. The reason will be a documented business reason unconnected with the religious nature of the request. Any employee who believes their request has been refused because of their religion or belief may raise a formal grievance under </w:t>
      </w:r>
      <w:r>
        <w:rPr>
          <w:b/>
          <w:color w:val="2B4BFF"/>
        </w:rPr>
        <w:t>[Company name]</w:t>
      </w:r>
      <w:r>
        <w:rPr>
          <w:color w:val="334155"/>
        </w:rPr>
        <w:t>'s Grievance Policy.</w:t>
      </w:r>
    </w:p>
    <w:p>
      <w:pPr>
        <w:pStyle w:val="Heading2"/>
        <w:jc w:val="left"/>
      </w:pPr>
      <w:r>
        <w:t>8. Review</w:t>
      </w:r>
    </w:p>
    <w:p>
      <w:r>
        <w:rPr>
          <w:color w:val="334155"/>
        </w:rPr>
        <w:t xml:space="preserve">This policy will be reviewed </w:t>
      </w:r>
      <w:r>
        <w:rPr>
          <w:b/>
          <w:color w:val="2B4BFF"/>
        </w:rPr>
        <w:t>[annually / every two years]</w:t>
      </w:r>
      <w:r>
        <w:rPr>
          <w:color w:val="334155"/>
        </w:rPr>
        <w:t xml:space="preserve"> and updated as the law or business circumstances change. Employees with questions about the policy should contact </w:t>
      </w:r>
      <w:r>
        <w:rPr>
          <w:b/>
          <w:color w:val="2B4BFF"/>
        </w:rPr>
        <w:t>[HR / their line manager / [name]]</w:t>
      </w:r>
      <w:r>
        <w:rPr>
          <w:color w:val="334155"/>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