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i w:val="0"/>
          <w:color w:val="0F172A"/>
          <w:sz w:val="30"/>
        </w:rPr>
        <w:t>MENTAL HEALTH DAYS AND WELLBEING POLICY</w:t>
      </w:r>
    </w:p>
    <w:p>
      <w:pPr>
        <w:spacing w:after="80"/>
        <w:jc w:val="center"/>
      </w:pPr>
      <w:r>
        <w:rPr>
          <w:rFonts w:ascii="Calibri" w:hAnsi="Calibri"/>
          <w:b w:val="0"/>
          <w:i/>
          <w:color w:val="64748B"/>
          <w:sz w:val="22"/>
        </w:rPr>
        <w:t>Template for UK employers</w:t>
      </w:r>
    </w:p>
    <w:p>
      <w:pPr>
        <w:spacing w:after="320"/>
        <w:jc w:val="center"/>
      </w:pPr>
      <w:r>
        <w:rPr>
          <w:rFonts w:ascii="Calibri" w:hAnsi="Calibri"/>
          <w:b w:val="0"/>
          <w:i w:val="0"/>
          <w:color w:val="64748B"/>
          <w:sz w:val="20"/>
        </w:rPr>
        <w:t xml:space="preserve">Effective: </w:t>
      </w:r>
      <w:r>
        <w:rPr>
          <w:rFonts w:ascii="Calibri" w:hAnsi="Calibri"/>
          <w:b/>
          <w:i w:val="0"/>
          <w:color w:val="3B5BFF"/>
          <w:sz w:val="20"/>
        </w:rPr>
        <w:t>[Date]</w:t>
      </w:r>
      <w:r>
        <w:rPr>
          <w:rFonts w:ascii="Calibri" w:hAnsi="Calibri"/>
          <w:b w:val="0"/>
          <w:i w:val="0"/>
          <w:color w:val="64748B"/>
          <w:sz w:val="20"/>
        </w:rPr>
        <w:t xml:space="preserve">  ·  Owner: </w:t>
      </w:r>
      <w:r>
        <w:rPr>
          <w:rFonts w:ascii="Calibri" w:hAnsi="Calibri"/>
          <w:b/>
          <w:i w:val="0"/>
          <w:color w:val="3B5BFF"/>
          <w:sz w:val="20"/>
        </w:rPr>
        <w:t>[HR / People team]</w:t>
      </w:r>
    </w:p>
    <w:p>
      <w:pPr>
        <w:spacing w:before="280" w:after="80"/>
        <w:pBdr>
          <w:bottom w:val="single" w:sz="4" w:space="4" w:color="EEF2FF"/>
        </w:pBdr>
      </w:pPr>
      <w:r>
        <w:rPr>
          <w:rFonts w:ascii="Calibri" w:hAnsi="Calibri"/>
          <w:b/>
          <w:i w:val="0"/>
          <w:color w:val="0F172A"/>
          <w:sz w:val="22"/>
        </w:rPr>
        <w:t>Document control</w:t>
      </w:r>
    </w:p>
    <w:tbl>
      <w:tblPr>
        <w:tblStyle w:val="TableGrid"/>
        <w:tblW w:type="auto" w:w="0"/>
        <w:tblLook w:firstColumn="1" w:firstRow="1" w:lastColumn="0" w:lastRow="0" w:noHBand="0" w:noVBand="1" w:val="04A0"/>
      </w:tblPr>
      <w:tblGrid>
        <w:gridCol w:w="4703"/>
        <w:gridCol w:w="4703"/>
      </w:tblGrid>
      <w:tr>
        <w:tc>
          <w:tcPr>
            <w:tcW w:type="dxa" w:w="4703"/>
          </w:tcPr>
          <w:p>
            <w:r>
              <w:rPr>
                <w:rFonts w:ascii="Calibri" w:hAnsi="Calibri"/>
                <w:b/>
                <w:i w:val="0"/>
                <w:color w:val="0F172A"/>
                <w:sz w:val="22"/>
              </w:rPr>
              <w:t>Document title</w:t>
            </w:r>
          </w:p>
        </w:tc>
        <w:tc>
          <w:tcPr>
            <w:tcW w:type="dxa" w:w="4703"/>
          </w:tcPr>
          <w:p>
            <w:r>
              <w:rPr>
                <w:rFonts w:ascii="Calibri" w:hAnsi="Calibri"/>
                <w:b w:val="0"/>
                <w:i w:val="0"/>
                <w:color w:val="334155"/>
                <w:sz w:val="22"/>
              </w:rPr>
              <w:t>Mental Health Days and Wellbeing Policy</w:t>
            </w:r>
          </w:p>
        </w:tc>
      </w:tr>
      <w:tr>
        <w:tc>
          <w:tcPr>
            <w:tcW w:type="dxa" w:w="4703"/>
          </w:tcPr>
          <w:p>
            <w:r>
              <w:rPr>
                <w:rFonts w:ascii="Calibri" w:hAnsi="Calibri"/>
                <w:b/>
                <w:i w:val="0"/>
                <w:color w:val="0F172A"/>
                <w:sz w:val="22"/>
              </w:rPr>
              <w:t>Applies to</w:t>
            </w:r>
          </w:p>
        </w:tc>
        <w:tc>
          <w:tcPr>
            <w:tcW w:type="dxa" w:w="4703"/>
          </w:tcPr>
          <w:p>
            <w:r>
              <w:rPr>
                <w:rFonts w:ascii="Calibri" w:hAnsi="Calibri"/>
                <w:b/>
                <w:i w:val="0"/>
                <w:color w:val="3B5BFF"/>
                <w:sz w:val="22"/>
              </w:rPr>
              <w:t>[All employees / Specify scope]</w:t>
            </w:r>
          </w:p>
        </w:tc>
      </w:tr>
      <w:tr>
        <w:tc>
          <w:tcPr>
            <w:tcW w:type="dxa" w:w="4703"/>
          </w:tcPr>
          <w:p>
            <w:r>
              <w:rPr>
                <w:rFonts w:ascii="Calibri" w:hAnsi="Calibri"/>
                <w:b/>
                <w:i w:val="0"/>
                <w:color w:val="0F172A"/>
                <w:sz w:val="22"/>
              </w:rPr>
              <w:t>Owner</w:t>
            </w:r>
          </w:p>
        </w:tc>
        <w:tc>
          <w:tcPr>
            <w:tcW w:type="dxa" w:w="4703"/>
          </w:tcPr>
          <w:p>
            <w:r>
              <w:rPr>
                <w:rFonts w:ascii="Calibri" w:hAnsi="Calibri"/>
                <w:b/>
                <w:i w:val="0"/>
                <w:color w:val="3B5BFF"/>
                <w:sz w:val="22"/>
              </w:rPr>
              <w:t>[HR / People team]</w:t>
            </w:r>
          </w:p>
        </w:tc>
      </w:tr>
      <w:tr>
        <w:tc>
          <w:tcPr>
            <w:tcW w:type="dxa" w:w="4703"/>
          </w:tcPr>
          <w:p>
            <w:r>
              <w:rPr>
                <w:rFonts w:ascii="Calibri" w:hAnsi="Calibri"/>
                <w:b/>
                <w:i w:val="0"/>
                <w:color w:val="0F172A"/>
                <w:sz w:val="22"/>
              </w:rPr>
              <w:t>Last reviewed</w:t>
            </w:r>
          </w:p>
        </w:tc>
        <w:tc>
          <w:tcPr>
            <w:tcW w:type="dxa" w:w="4703"/>
          </w:tcPr>
          <w:p>
            <w:r>
              <w:rPr>
                <w:rFonts w:ascii="Calibri" w:hAnsi="Calibri"/>
                <w:b/>
                <w:i w:val="0"/>
                <w:color w:val="3B5BFF"/>
                <w:sz w:val="22"/>
              </w:rPr>
              <w:t>[Insert date]</w:t>
            </w:r>
          </w:p>
        </w:tc>
      </w:tr>
    </w:tbl>
    <w:p/>
    <w:p>
      <w:pPr>
        <w:spacing w:after="280"/>
      </w:pPr>
      <w:r>
        <w:rPr>
          <w:rFonts w:ascii="Calibri" w:hAnsi="Calibri"/>
          <w:b w:val="0"/>
          <w:i/>
          <w:color w:val="64748B"/>
          <w:sz w:val="22"/>
        </w:rPr>
        <w:t>This template is a starting point for UK employers. It does not constitute legal advice. Adapt the wording to your organisation, contracts and circumstances. Remove all drafting notes and fill in the bracketed fields before issuing. Where you face a specific dispute or a complex situation, seek advice from ACAS or a qualified employment lawyer.</w:t>
      </w:r>
    </w:p>
    <w:p>
      <w:pPr>
        <w:spacing w:before="280" w:after="80"/>
        <w:pBdr>
          <w:bottom w:val="single" w:sz="4" w:space="4" w:color="EEF2FF"/>
        </w:pBdr>
      </w:pPr>
      <w:r>
        <w:rPr>
          <w:rFonts w:ascii="Calibri" w:hAnsi="Calibri"/>
          <w:b/>
          <w:i w:val="0"/>
          <w:color w:val="0F172A"/>
          <w:sz w:val="22"/>
        </w:rPr>
        <w:t>1. Purpose and scope</w:t>
      </w:r>
    </w:p>
    <w:p>
      <w:pPr>
        <w:spacing w:after="120"/>
      </w:pPr>
      <w:r>
        <w:rPr>
          <w:rFonts w:ascii="Calibri" w:hAnsi="Calibri"/>
          <w:b w:val="0"/>
          <w:i w:val="0"/>
          <w:color w:val="334155"/>
          <w:sz w:val="22"/>
        </w:rPr>
        <w:t>This policy sets out [Company name]'s approach to mental health at work. It covers: the Company's duty of care for employee mental health; how mental health conditions are treated under the sickness absence process; any discretionary wellbeing day benefit offered by the Company; and the Company's obligations under the Equality Act 2010 where a mental health condition qualifies as a disability. This policy applies to all employees. Workers and self-employed contractors should refer to their agreement for any applicable provisions.</w:t>
      </w:r>
    </w:p>
    <w:p>
      <w:pPr>
        <w:spacing w:after="200"/>
        <w:ind w:left="227"/>
      </w:pPr>
      <w:r>
        <w:rPr>
          <w:rFonts w:ascii="Calibri" w:hAnsi="Calibri"/>
          <w:b w:val="0"/>
          <w:i/>
          <w:color w:val="64748B"/>
          <w:sz w:val="22"/>
        </w:rPr>
        <w:t>Drafting note: Adapt the scope to your workforce. If you have separate policies for workers or contractors, cross-reference them here. Delete this note before issuing.</w:t>
      </w:r>
    </w:p>
    <w:p>
      <w:pPr>
        <w:spacing w:before="280" w:after="80"/>
        <w:pBdr>
          <w:bottom w:val="single" w:sz="4" w:space="4" w:color="EEF2FF"/>
        </w:pBdr>
      </w:pPr>
      <w:r>
        <w:rPr>
          <w:rFonts w:ascii="Calibri" w:hAnsi="Calibri"/>
          <w:b/>
          <w:i w:val="0"/>
          <w:color w:val="0F172A"/>
          <w:sz w:val="22"/>
        </w:rPr>
        <w:t>2. The Company's commitment to mental health</w:t>
      </w:r>
    </w:p>
    <w:p>
      <w:pPr>
        <w:spacing w:after="120"/>
      </w:pPr>
      <w:r>
        <w:rPr>
          <w:rFonts w:ascii="Calibri" w:hAnsi="Calibri"/>
          <w:b w:val="0"/>
          <w:i w:val="0"/>
          <w:color w:val="334155"/>
          <w:sz w:val="22"/>
        </w:rPr>
        <w:t>[Company name] is committed to creating a working environment that supports the mental health and wellbeing of all employees. The Company recognises that mental health problems are common, that they can affect anyone, and that early, appropriate support is in the interest of both the employee and the organisation. The Company will work to reduce stigma, encourage open conversations about mental health, and respond supportively when an employee is struggling.</w:t>
      </w:r>
    </w:p>
    <w:p>
      <w:pPr>
        <w:spacing w:after="200"/>
        <w:ind w:left="227"/>
      </w:pPr>
      <w:r>
        <w:rPr>
          <w:rFonts w:ascii="Calibri" w:hAnsi="Calibri"/>
          <w:b w:val="0"/>
          <w:i/>
          <w:color w:val="64748B"/>
          <w:sz w:val="22"/>
        </w:rPr>
        <w:t>Drafting note: This commitment clause sets the tone. You may want to reference any specific initiatives (mental health first aiders, EAP, wellbeing champions) here or in clause 9. Delete this note before issuing.</w:t>
      </w:r>
    </w:p>
    <w:p>
      <w:pPr>
        <w:spacing w:before="280" w:after="80"/>
        <w:pBdr>
          <w:bottom w:val="single" w:sz="4" w:space="4" w:color="EEF2FF"/>
        </w:pBdr>
      </w:pPr>
      <w:r>
        <w:rPr>
          <w:rFonts w:ascii="Calibri" w:hAnsi="Calibri"/>
          <w:b/>
          <w:i w:val="0"/>
          <w:color w:val="0F172A"/>
          <w:sz w:val="22"/>
        </w:rPr>
        <w:t>3. Mental health and sick leave</w:t>
      </w:r>
    </w:p>
    <w:p>
      <w:pPr>
        <w:spacing w:after="120"/>
      </w:pPr>
      <w:r>
        <w:rPr>
          <w:rFonts w:ascii="Calibri" w:hAnsi="Calibri"/>
          <w:b w:val="0"/>
          <w:i w:val="0"/>
          <w:color w:val="334155"/>
          <w:sz w:val="22"/>
        </w:rPr>
        <w:t>Mental health conditions are treated in the same way as physical health conditions for sickness absence purposes. If an employee is too unwell to work because of a mental health condition, they should notify their manager as early as possible on the first day of absence (or in accordance with the Company's notification procedure). This is sickness absence, not a matter of personal choice, and will not be treated as such.</w:t>
      </w:r>
    </w:p>
    <w:p>
      <w:pPr>
        <w:spacing w:before="280" w:after="80"/>
        <w:pBdr>
          <w:bottom w:val="single" w:sz="4" w:space="4" w:color="EEF2FF"/>
        </w:pBdr>
      </w:pPr>
      <w:r>
        <w:rPr>
          <w:rFonts w:ascii="Calibri" w:hAnsi="Calibri"/>
          <w:b/>
          <w:i w:val="0"/>
          <w:color w:val="0F172A"/>
          <w:sz w:val="22"/>
        </w:rPr>
        <w:t>4. Self-certification and fit notes</w:t>
      </w:r>
    </w:p>
    <w:p>
      <w:pPr>
        <w:spacing w:after="120"/>
      </w:pPr>
      <w:r>
        <w:rPr>
          <w:rFonts w:ascii="Calibri" w:hAnsi="Calibri"/>
          <w:b w:val="0"/>
          <w:i w:val="0"/>
          <w:color w:val="334155"/>
          <w:sz w:val="22"/>
        </w:rPr>
        <w:t xml:space="preserve">For absences of up to seven calendar days (including weekends), the employee may self-certify by completing the Company's self-certification form or </w:t>
      </w:r>
      <w:r>
        <w:rPr>
          <w:rFonts w:ascii="Calibri" w:hAnsi="Calibri"/>
          <w:b/>
          <w:i w:val="0"/>
          <w:color w:val="3B5BFF"/>
          <w:sz w:val="22"/>
        </w:rPr>
        <w:t>[confirming the absence by email / in writing to their line manager]</w:t>
      </w:r>
      <w:r>
        <w:rPr>
          <w:rFonts w:ascii="Calibri" w:hAnsi="Calibri"/>
          <w:b w:val="0"/>
          <w:i w:val="0"/>
          <w:color w:val="334155"/>
          <w:sz w:val="22"/>
        </w:rPr>
        <w:t>. No medical evidence is required during this period. For absences lasting more than seven calendar days, the employee must obtain a fit note from their GP or another authorised healthcare professional. Fit notes may indicate the employee is 'not fit for work' or 'may be fit for work' with adjustments. The Company will consider any adjustments noted and discuss with the employee before they return.</w:t>
      </w:r>
    </w:p>
    <w:p>
      <w:pPr>
        <w:spacing w:after="200"/>
        <w:ind w:left="227"/>
      </w:pPr>
      <w:r>
        <w:rPr>
          <w:rFonts w:ascii="Calibri" w:hAnsi="Calibri"/>
          <w:b w:val="0"/>
          <w:i/>
          <w:color w:val="64748B"/>
          <w:sz w:val="22"/>
        </w:rPr>
        <w:t>Drafting note: The seven-day self-certification period is established practice under HMRC guidance for SSP purposes. You may set a shorter internal reporting requirement but cannot require a medical certificate within the first seven days. Delete this note before issuing.</w:t>
      </w:r>
    </w:p>
    <w:p>
      <w:pPr>
        <w:spacing w:before="280" w:after="80"/>
        <w:pBdr>
          <w:bottom w:val="single" w:sz="4" w:space="4" w:color="EEF2FF"/>
        </w:pBdr>
      </w:pPr>
      <w:r>
        <w:rPr>
          <w:rFonts w:ascii="Calibri" w:hAnsi="Calibri"/>
          <w:b/>
          <w:i w:val="0"/>
          <w:color w:val="0F172A"/>
          <w:sz w:val="22"/>
        </w:rPr>
        <w:t>5. Statutory Sick Pay</w:t>
      </w:r>
    </w:p>
    <w:p>
      <w:pPr>
        <w:spacing w:after="120"/>
      </w:pPr>
      <w:r>
        <w:rPr>
          <w:rFonts w:ascii="Calibri" w:hAnsi="Calibri"/>
          <w:b w:val="0"/>
          <w:i w:val="0"/>
          <w:color w:val="334155"/>
          <w:sz w:val="22"/>
        </w:rPr>
        <w:t>Employees who are too unwell to work because of a mental health condition may be entitled to Statutory Sick Pay (SSP). From 6 April 2026, SSP is payable from the first qualifying day of sickness absence (no waiting days), at the lower of £123.25 per week or 80% of average weekly earnings. SSP is payable for up to 28 weeks. The Company will administer SSP in accordance with the current statutory rules and will issue form SSP1 if SSP entitlement is exhausted.</w:t>
      </w:r>
    </w:p>
    <w:p>
      <w:pPr>
        <w:spacing w:after="120"/>
      </w:pPr>
      <w:r>
        <w:rPr>
          <w:rFonts w:ascii="Calibri" w:hAnsi="Calibri"/>
          <w:b w:val="0"/>
          <w:i w:val="0"/>
          <w:color w:val="334155"/>
          <w:sz w:val="22"/>
        </w:rPr>
        <w:t xml:space="preserve">[Optional: The Company offers contractual sick pay of </w:t>
      </w:r>
      <w:r>
        <w:rPr>
          <w:rFonts w:ascii="Calibri" w:hAnsi="Calibri"/>
          <w:b/>
          <w:i w:val="0"/>
          <w:color w:val="3B5BFF"/>
          <w:sz w:val="22"/>
        </w:rPr>
        <w:t>[X weeks at full pay / X weeks at half pay]</w:t>
      </w:r>
      <w:r>
        <w:rPr>
          <w:rFonts w:ascii="Calibri" w:hAnsi="Calibri"/>
          <w:b w:val="0"/>
          <w:i w:val="0"/>
          <w:color w:val="334155"/>
          <w:sz w:val="22"/>
        </w:rPr>
        <w:t xml:space="preserve"> to employees who have completed </w:t>
      </w:r>
      <w:r>
        <w:rPr>
          <w:rFonts w:ascii="Calibri" w:hAnsi="Calibri"/>
          <w:b/>
          <w:i w:val="0"/>
          <w:color w:val="3B5BFF"/>
          <w:sz w:val="22"/>
        </w:rPr>
        <w:t>[X months' / X years']</w:t>
      </w:r>
      <w:r>
        <w:rPr>
          <w:rFonts w:ascii="Calibri" w:hAnsi="Calibri"/>
          <w:b w:val="0"/>
          <w:i w:val="0"/>
          <w:color w:val="334155"/>
          <w:sz w:val="22"/>
        </w:rPr>
        <w:t xml:space="preserve"> service, subject to the absence being verified by a fit note where required and the employee following the reporting procedure. This contractual sick pay is inclusive of any SSP entitlement.]</w:t>
      </w:r>
    </w:p>
    <w:p>
      <w:pPr>
        <w:spacing w:after="200"/>
        <w:ind w:left="227"/>
      </w:pPr>
      <w:r>
        <w:rPr>
          <w:rFonts w:ascii="Calibri" w:hAnsi="Calibri"/>
          <w:b w:val="0"/>
          <w:i/>
          <w:color w:val="64748B"/>
          <w:sz w:val="22"/>
        </w:rPr>
        <w:t>Drafting note: Include the optional clause only if you offer contractual sick pay above the SSP minimum. If you do, specify the qualifying period, the rate, and the maximum duration clearly to avoid disputes. Delete this note before issuing.</w:t>
      </w:r>
    </w:p>
    <w:p>
      <w:pPr>
        <w:spacing w:before="280" w:after="80"/>
        <w:pBdr>
          <w:bottom w:val="single" w:sz="4" w:space="4" w:color="EEF2FF"/>
        </w:pBdr>
      </w:pPr>
      <w:r>
        <w:rPr>
          <w:rFonts w:ascii="Calibri" w:hAnsi="Calibri"/>
          <w:b/>
          <w:i w:val="0"/>
          <w:color w:val="0F172A"/>
          <w:sz w:val="22"/>
        </w:rPr>
        <w:t>6. Discretionary wellbeing days</w:t>
      </w:r>
    </w:p>
    <w:p>
      <w:pPr>
        <w:spacing w:after="120"/>
      </w:pPr>
      <w:r>
        <w:rPr>
          <w:rFonts w:ascii="Calibri" w:hAnsi="Calibri"/>
          <w:b w:val="0"/>
          <w:i w:val="0"/>
          <w:color w:val="334155"/>
          <w:sz w:val="22"/>
        </w:rPr>
        <w:t>[Option A: The Company does not currently offer discretionary wellbeing days as a separate benefit. Employees who need time off for mental health reasons should use the sickness absence process.]</w:t>
        <w:br/>
        <w:br/>
        <w:t xml:space="preserve">[Option B: The Company offers </w:t>
      </w:r>
      <w:r>
        <w:rPr>
          <w:rFonts w:ascii="Calibri" w:hAnsi="Calibri"/>
          <w:b/>
          <w:i w:val="0"/>
          <w:color w:val="3B5BFF"/>
          <w:sz w:val="22"/>
        </w:rPr>
        <w:t>[X]</w:t>
      </w:r>
      <w:r>
        <w:rPr>
          <w:rFonts w:ascii="Calibri" w:hAnsi="Calibri"/>
          <w:b w:val="0"/>
          <w:i w:val="0"/>
          <w:color w:val="334155"/>
          <w:sz w:val="22"/>
        </w:rPr>
        <w:t xml:space="preserve"> paid wellbeing day(s) per leave year to all employees who have completed </w:t>
      </w:r>
      <w:r>
        <w:rPr>
          <w:rFonts w:ascii="Calibri" w:hAnsi="Calibri"/>
          <w:b/>
          <w:i w:val="0"/>
          <w:color w:val="3B5BFF"/>
          <w:sz w:val="22"/>
        </w:rPr>
        <w:t>[X months']</w:t>
      </w:r>
      <w:r>
        <w:rPr>
          <w:rFonts w:ascii="Calibri" w:hAnsi="Calibri"/>
          <w:b w:val="0"/>
          <w:i w:val="0"/>
          <w:color w:val="334155"/>
          <w:sz w:val="22"/>
        </w:rPr>
        <w:t xml:space="preserve"> service. Wellbeing days may be taken without giving a reason. They are not sickness absence, do not require a self-certification form, and will not be counted in any absence trigger calculation. They are separate from the employee's annual leave entitlement and from the sickness absence process. If an employee is too unwell to work, they should use the sickness absence process instead. Unused wellbeing days in a leave year </w:t>
      </w:r>
      <w:r>
        <w:rPr>
          <w:rFonts w:ascii="Calibri" w:hAnsi="Calibri"/>
          <w:b/>
          <w:i w:val="0"/>
          <w:color w:val="3B5BFF"/>
          <w:sz w:val="22"/>
        </w:rPr>
        <w:t>[carry forward / lapse at the end of the leave year]</w:t>
      </w:r>
      <w:r>
        <w:rPr>
          <w:rFonts w:ascii="Calibri" w:hAnsi="Calibri"/>
          <w:b w:val="0"/>
          <w:i w:val="0"/>
          <w:color w:val="334155"/>
          <w:sz w:val="22"/>
        </w:rPr>
        <w:t>.]</w:t>
      </w:r>
    </w:p>
    <w:p>
      <w:pPr>
        <w:spacing w:after="200"/>
        <w:ind w:left="227"/>
      </w:pPr>
      <w:r>
        <w:rPr>
          <w:rFonts w:ascii="Calibri" w:hAnsi="Calibri"/>
          <w:b w:val="0"/>
          <w:i/>
          <w:color w:val="64748B"/>
          <w:sz w:val="22"/>
        </w:rPr>
        <w:t>Drafting note: Choose Option A or Option B and delete the other. If you offer wellbeing days (Option B), set clear rules: number per year, qualifying service, whether they carry forward, and the notice requirement. Documenting this clearly avoids scope creep and prevents wellbeing days from being treated as sick leave triggers. Delete this note before issuing.</w:t>
      </w:r>
    </w:p>
    <w:p>
      <w:pPr>
        <w:spacing w:before="280" w:after="80"/>
        <w:pBdr>
          <w:bottom w:val="single" w:sz="4" w:space="4" w:color="EEF2FF"/>
        </w:pBdr>
      </w:pPr>
      <w:r>
        <w:rPr>
          <w:rFonts w:ascii="Calibri" w:hAnsi="Calibri"/>
          <w:b/>
          <w:i w:val="0"/>
          <w:color w:val="0F172A"/>
          <w:sz w:val="22"/>
        </w:rPr>
        <w:t>7. Equality Act 2010 and reasonable adjustments</w:t>
      </w:r>
    </w:p>
    <w:p>
      <w:pPr>
        <w:spacing w:after="120"/>
      </w:pPr>
      <w:r>
        <w:rPr>
          <w:rFonts w:ascii="Calibri" w:hAnsi="Calibri"/>
          <w:b w:val="0"/>
          <w:i w:val="0"/>
          <w:color w:val="334155"/>
          <w:sz w:val="22"/>
        </w:rPr>
        <w:t>A mental health condition may be a disability under the Equality Act 2010 if it has a substantial and long-term adverse effect on the employee's ability to carry out normal day-to-day activities. Long-term means it has lasted, or is expected to last, 12 months or more. Conditions such as severe depression, anxiety disorders, PTSD, bipolar disorder, and schizophrenia commonly qualify.</w:t>
      </w:r>
    </w:p>
    <w:p>
      <w:pPr>
        <w:spacing w:after="120"/>
      </w:pPr>
      <w:r>
        <w:rPr>
          <w:rFonts w:ascii="Calibri" w:hAnsi="Calibri"/>
          <w:b w:val="0"/>
          <w:i w:val="0"/>
          <w:color w:val="334155"/>
          <w:sz w:val="22"/>
        </w:rPr>
        <w:t>Where a mental health condition qualifies as a disability, the Company must make reasonable adjustments to remove or reduce any substantial disadvantage the employee faces. Reasonable adjustments for mental health conditions may include: phased return to work; flexible start or finish times; temporary adjustment to workload or deadlines; working from home on difficult days; adjustments to the attendance management process; or access to an Employee Assistance Programme. The Company will discuss potential adjustments with the employee, take occupational health advice where appropriate, and keep a written record of what has been agreed.</w:t>
      </w:r>
    </w:p>
    <w:p>
      <w:pPr>
        <w:spacing w:after="120"/>
      </w:pPr>
      <w:r>
        <w:rPr>
          <w:rFonts w:ascii="Calibri" w:hAnsi="Calibri"/>
          <w:b w:val="0"/>
          <w:i w:val="0"/>
          <w:color w:val="334155"/>
          <w:sz w:val="22"/>
        </w:rPr>
        <w:t>Dismissal or any detriment connected to a disability-related absence, or to requesting reasonable adjustments, may constitute unlawful disability discrimination. Managers must not treat mental health absences as performance issues without first considering whether a disability may be involved and whether reasonable adjustments have been made.</w:t>
      </w:r>
    </w:p>
    <w:p>
      <w:pPr>
        <w:spacing w:after="200"/>
        <w:ind w:left="227"/>
      </w:pPr>
      <w:r>
        <w:rPr>
          <w:rFonts w:ascii="Calibri" w:hAnsi="Calibri"/>
          <w:b w:val="0"/>
          <w:i/>
          <w:color w:val="64748B"/>
          <w:sz w:val="22"/>
        </w:rPr>
        <w:t>Drafting note: This clause outlines your legal minimum obligations. You may want to include a reference to your occupational health provider or EAP service here. If you have a separate reasonable adjustments policy, cross-reference it. Delete this note before issuing.</w:t>
      </w:r>
    </w:p>
    <w:p>
      <w:pPr>
        <w:spacing w:before="280" w:after="80"/>
        <w:pBdr>
          <w:bottom w:val="single" w:sz="4" w:space="4" w:color="EEF2FF"/>
        </w:pBdr>
      </w:pPr>
      <w:r>
        <w:rPr>
          <w:rFonts w:ascii="Calibri" w:hAnsi="Calibri"/>
          <w:b/>
          <w:i w:val="0"/>
          <w:color w:val="0F172A"/>
          <w:sz w:val="22"/>
        </w:rPr>
        <w:t>8. Attendance management and the Bradford Factor</w:t>
      </w:r>
    </w:p>
    <w:p>
      <w:pPr>
        <w:spacing w:after="120"/>
      </w:pPr>
      <w:r>
        <w:rPr>
          <w:rFonts w:ascii="Calibri" w:hAnsi="Calibri"/>
          <w:b w:val="0"/>
          <w:i w:val="0"/>
          <w:color w:val="334155"/>
          <w:sz w:val="22"/>
        </w:rPr>
        <w:t>The Company operates an attendance management process for persistent short-term sickness absence. Where trigger points are reached, the manager will invite the employee to a welfare conversation before any formal process begins.</w:t>
      </w:r>
    </w:p>
    <w:p>
      <w:pPr>
        <w:spacing w:after="120"/>
      </w:pPr>
      <w:r>
        <w:rPr>
          <w:rFonts w:ascii="Calibri" w:hAnsi="Calibri"/>
          <w:b w:val="0"/>
          <w:i w:val="0"/>
          <w:color w:val="334155"/>
          <w:sz w:val="22"/>
        </w:rPr>
        <w:t>Where an employee's sickness absences are related to a mental health condition that may be a disability, the Company will consider whether: the absences are linked to the disability; reasonable adjustments would reduce future absences; and any modification to the standard trigger threshold is appropriate. Applying trigger points mechanically without considering whether a disability is involved risks a claim of discrimination arising from disability under section 15 of the Equality Act 2010.</w:t>
      </w:r>
    </w:p>
    <w:p>
      <w:pPr>
        <w:spacing w:after="200"/>
        <w:ind w:left="227"/>
      </w:pPr>
      <w:r>
        <w:rPr>
          <w:rFonts w:ascii="Calibri" w:hAnsi="Calibri"/>
          <w:b w:val="0"/>
          <w:i/>
          <w:color w:val="64748B"/>
          <w:sz w:val="22"/>
        </w:rPr>
        <w:t>Drafting note: If you use the Bradford Factor, add a sentence here: 'Bradford Factor scores are used as a management tool to identify patterns, not as an automatic trigger for disciplinary action. Managers must consider disability and reasonable adjustments before acting on any score.' This reduces the risk of an Equality Act claim. Delete this note before issuing.</w:t>
      </w:r>
    </w:p>
    <w:p>
      <w:pPr>
        <w:spacing w:before="280" w:after="80"/>
        <w:pBdr>
          <w:bottom w:val="single" w:sz="4" w:space="4" w:color="EEF2FF"/>
        </w:pBdr>
      </w:pPr>
      <w:r>
        <w:rPr>
          <w:rFonts w:ascii="Calibri" w:hAnsi="Calibri"/>
          <w:b/>
          <w:i w:val="0"/>
          <w:color w:val="0F172A"/>
          <w:sz w:val="22"/>
        </w:rPr>
        <w:t>9. Confidentiality</w:t>
      </w:r>
    </w:p>
    <w:p>
      <w:pPr>
        <w:spacing w:after="120"/>
      </w:pPr>
      <w:r>
        <w:rPr>
          <w:rFonts w:ascii="Calibri" w:hAnsi="Calibri"/>
          <w:b w:val="0"/>
          <w:i w:val="0"/>
          <w:color w:val="334155"/>
          <w:sz w:val="22"/>
        </w:rPr>
        <w:t>The Company treats mental health information with sensitivity. Information about an employee's mental health condition will be shared only with those who need to know for the purpose of managing the absence or putting in place reasonable adjustments. Employees are not required to share a diagnosis: they need only confirm they are not well enough to work (self-certification) or provide a fit note stating they are unfit for work or may be fit for work with adjustments. The Company will not share an employee's mental health information with other employees without the employee's consent.</w:t>
      </w:r>
    </w:p>
    <w:p>
      <w:pPr>
        <w:spacing w:before="280" w:after="80"/>
        <w:pBdr>
          <w:bottom w:val="single" w:sz="4" w:space="4" w:color="EEF2FF"/>
        </w:pBdr>
      </w:pPr>
      <w:r>
        <w:rPr>
          <w:rFonts w:ascii="Calibri" w:hAnsi="Calibri"/>
          <w:b/>
          <w:i w:val="0"/>
          <w:color w:val="0F172A"/>
          <w:sz w:val="22"/>
        </w:rPr>
        <w:t>10. Return to work</w:t>
      </w:r>
    </w:p>
    <w:p>
      <w:pPr>
        <w:spacing w:after="120"/>
      </w:pPr>
      <w:r>
        <w:rPr>
          <w:rFonts w:ascii="Calibri" w:hAnsi="Calibri"/>
          <w:b w:val="0"/>
          <w:i w:val="0"/>
          <w:color w:val="334155"/>
          <w:sz w:val="22"/>
        </w:rPr>
        <w:t>After any sickness absence, including absence related to mental health, the manager will hold a brief return-to-work conversation with the employee on their first day back. The purpose of this conversation is to welcome the employee back, confirm they are well enough to return, discuss any temporary adjustments that would support them, and update absence records. It is not a disciplinary meeting. Employees are not required to disclose their diagnosis, and managers should not pressurise employees to do so.</w:t>
      </w:r>
    </w:p>
    <w:p>
      <w:pPr>
        <w:spacing w:after="200"/>
        <w:ind w:left="227"/>
      </w:pPr>
      <w:r>
        <w:rPr>
          <w:rFonts w:ascii="Calibri" w:hAnsi="Calibri"/>
          <w:b w:val="0"/>
          <w:i/>
          <w:color w:val="64748B"/>
          <w:sz w:val="22"/>
        </w:rPr>
        <w:t>Drafting note: Return-to-work conversations are recommended by ACAS and are a key component of good absence management. Even where absence is short, they help detect patterns and support employees who may be struggling. Delete this note before issuing.</w:t>
      </w:r>
    </w:p>
    <w:p>
      <w:pPr>
        <w:spacing w:before="280" w:after="80"/>
        <w:pBdr>
          <w:bottom w:val="single" w:sz="4" w:space="4" w:color="EEF2FF"/>
        </w:pBdr>
      </w:pPr>
      <w:r>
        <w:rPr>
          <w:rFonts w:ascii="Calibri" w:hAnsi="Calibri"/>
          <w:b/>
          <w:i w:val="0"/>
          <w:color w:val="0F172A"/>
          <w:sz w:val="22"/>
        </w:rPr>
        <w:t>11. Support and resources</w:t>
      </w:r>
    </w:p>
    <w:p>
      <w:pPr>
        <w:spacing w:after="120"/>
      </w:pPr>
      <w:r>
        <w:rPr>
          <w:rFonts w:ascii="Calibri" w:hAnsi="Calibri"/>
          <w:b w:val="0"/>
          <w:i w:val="0"/>
          <w:color w:val="334155"/>
          <w:sz w:val="22"/>
        </w:rPr>
        <w:t xml:space="preserve">Employees who are experiencing mental health difficulties are encouraged to speak to </w:t>
      </w:r>
      <w:r>
        <w:rPr>
          <w:rFonts w:ascii="Calibri" w:hAnsi="Calibri"/>
          <w:b/>
          <w:i w:val="0"/>
          <w:color w:val="3B5BFF"/>
          <w:sz w:val="22"/>
        </w:rPr>
        <w:t>[their line manager / HR / a trained mental health first aider]</w:t>
      </w:r>
      <w:r>
        <w:rPr>
          <w:rFonts w:ascii="Calibri" w:hAnsi="Calibri"/>
          <w:b w:val="0"/>
          <w:i w:val="0"/>
          <w:color w:val="334155"/>
          <w:sz w:val="22"/>
        </w:rPr>
        <w:t xml:space="preserve"> in confidence. </w:t>
      </w:r>
      <w:r>
        <w:rPr>
          <w:rFonts w:ascii="Calibri" w:hAnsi="Calibri"/>
          <w:b/>
          <w:i w:val="0"/>
          <w:color w:val="3B5BFF"/>
          <w:sz w:val="22"/>
        </w:rPr>
        <w:t>[The Company subscribes to an Employee Assistance Programme (EAP) which provides free, confidential advice and counselling to all employees. Details are available from HR.]</w:t>
        <w:br/>
        <w:br/>
      </w:r>
      <w:r>
        <w:rPr>
          <w:rFonts w:ascii="Calibri" w:hAnsi="Calibri"/>
          <w:b w:val="0"/>
          <w:i w:val="0"/>
          <w:color w:val="334155"/>
          <w:sz w:val="22"/>
        </w:rPr>
        <w:t>The following external resources are also available to all employees: ACAS (acas.org.uk) for employment rights and workplace support; Mind (mind.org.uk) for mental health information and signposting; the NHS (nhs.uk) for clinical support and GP referral; and the Samaritans (samaritans.org) for crisis support (freephone 116 123).</w:t>
      </w:r>
    </w:p>
    <w:p>
      <w:pPr>
        <w:spacing w:after="200"/>
        <w:ind w:left="227"/>
      </w:pPr>
      <w:r>
        <w:rPr>
          <w:rFonts w:ascii="Calibri" w:hAnsi="Calibri"/>
          <w:b w:val="0"/>
          <w:i/>
          <w:color w:val="64748B"/>
          <w:sz w:val="22"/>
        </w:rPr>
        <w:t>Drafting note: Adapt this clause to reflect your actual support provision. If you have mental health first aiders, name the role (not the individual) and explain how to contact them. If you do not have an EAP, remove the EAP sentence. Delete this note before issuing.</w:t>
      </w:r>
    </w:p>
    <w:p>
      <w:pPr>
        <w:spacing w:before="280" w:after="80"/>
        <w:pBdr>
          <w:bottom w:val="single" w:sz="4" w:space="4" w:color="EEF2FF"/>
        </w:pBdr>
      </w:pPr>
      <w:r>
        <w:rPr>
          <w:rFonts w:ascii="Calibri" w:hAnsi="Calibri"/>
          <w:b/>
          <w:i w:val="0"/>
          <w:color w:val="0F172A"/>
          <w:sz w:val="22"/>
        </w:rPr>
        <w:t>12. Manager responsibilities</w:t>
      </w:r>
    </w:p>
    <w:p>
      <w:pPr>
        <w:spacing w:after="120"/>
      </w:pPr>
      <w:r>
        <w:rPr>
          <w:rFonts w:ascii="Calibri" w:hAnsi="Calibri"/>
          <w:b w:val="0"/>
          <w:i w:val="0"/>
          <w:color w:val="334155"/>
          <w:sz w:val="22"/>
        </w:rPr>
        <w:t>Managers are responsible for: creating a team environment where employees feel safe to raise mental health concerns; following the notification and self-certification process consistently; conducting return-to-work conversations after every absence; considering disability and reasonable adjustments before initiating any absence management process; maintaining confidentiality about individual employees' mental health; and escalating to HR where an employee's mental health may require occupational health referral or more complex support.</w:t>
      </w:r>
    </w:p>
    <w:p>
      <w:pPr>
        <w:spacing w:before="280" w:after="80"/>
        <w:pBdr>
          <w:bottom w:val="single" w:sz="4" w:space="4" w:color="EEF2FF"/>
        </w:pBdr>
      </w:pPr>
      <w:r>
        <w:rPr>
          <w:rFonts w:ascii="Calibri" w:hAnsi="Calibri"/>
          <w:b/>
          <w:i w:val="0"/>
          <w:color w:val="0F172A"/>
          <w:sz w:val="22"/>
        </w:rPr>
        <w:t>13. Record keeping</w:t>
      </w:r>
    </w:p>
    <w:p>
      <w:pPr>
        <w:spacing w:after="120"/>
      </w:pPr>
      <w:r>
        <w:rPr>
          <w:rFonts w:ascii="Calibri" w:hAnsi="Calibri"/>
          <w:b w:val="0"/>
          <w:i w:val="0"/>
          <w:color w:val="334155"/>
          <w:sz w:val="22"/>
        </w:rPr>
        <w:t>The Company will keep records of sickness absence (including mental health-related absence), reasonable adjustments agreed, and return-to-work conversations. These records will be kept securely, in line with the Company's data retention policy, and will not contain unnecessary sensitive information about the employee's diagnosis or mental health history beyond what is needed to administer the absence and any adjustments.</w:t>
      </w:r>
    </w:p>
    <w:p>
      <w:pPr>
        <w:spacing w:before="280" w:after="80"/>
        <w:pBdr>
          <w:bottom w:val="single" w:sz="4" w:space="4" w:color="EEF2FF"/>
        </w:pBdr>
      </w:pPr>
      <w:r>
        <w:rPr>
          <w:rFonts w:ascii="Calibri" w:hAnsi="Calibri"/>
          <w:b/>
          <w:i w:val="0"/>
          <w:color w:val="0F172A"/>
          <w:sz w:val="22"/>
        </w:rPr>
        <w:t>14. Review</w:t>
      </w:r>
    </w:p>
    <w:p>
      <w:pPr>
        <w:spacing w:after="120"/>
      </w:pPr>
      <w:r>
        <w:rPr>
          <w:rFonts w:ascii="Calibri" w:hAnsi="Calibri"/>
          <w:b w:val="0"/>
          <w:i w:val="0"/>
          <w:color w:val="334155"/>
          <w:sz w:val="22"/>
        </w:rPr>
        <w:t xml:space="preserve">This policy will be reviewed periodically and updated to reflect changes in employment law, ACAS guidance, HSE guidance, or Company practice. Employees with questions about this policy should contact </w:t>
      </w:r>
      <w:r>
        <w:rPr>
          <w:rFonts w:ascii="Calibri" w:hAnsi="Calibri"/>
          <w:b/>
          <w:i w:val="0"/>
          <w:color w:val="3B5BFF"/>
          <w:sz w:val="22"/>
        </w:rPr>
        <w:t>[HR / their line manager / [name]]</w:t>
      </w:r>
      <w:r>
        <w:rPr>
          <w:rFonts w:ascii="Calibri" w:hAnsi="Calibri"/>
          <w:b w:val="0"/>
          <w:i w:val="0"/>
          <w:sz w:val="22"/>
        </w:rPr>
        <w:t>.</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