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FLEXIBLE WORKING POLICY</w:t>
      </w:r>
    </w:p>
    <w:p>
      <w:pPr>
        <w:jc w:val="center"/>
      </w:pPr>
      <w:r>
        <w:rPr>
          <w:color w:val="64748B"/>
          <w:sz w:val="22"/>
        </w:rPr>
        <w:t>Employee Handbook Clause</w:t>
      </w:r>
    </w:p>
    <w:p/>
    <w:tbl>
      <w:tblPr>
        <w:tblStyle w:val="TableGrid"/>
        <w:tblW w:type="auto" w:w="0"/>
        <w:tblLook w:firstColumn="1" w:firstRow="1" w:lastColumn="0" w:lastRow="0" w:noHBand="0" w:noVBand="1" w:val="04A0"/>
      </w:tblPr>
      <w:tblGrid>
        <w:gridCol w:w="4320"/>
        <w:gridCol w:w="4320"/>
      </w:tblGrid>
      <w:tr>
        <w:tc>
          <w:tcPr>
            <w:tcW w:type="dxa" w:w="4320"/>
          </w:tcPr>
          <w:p>
            <w:r>
              <w:rPr>
                <w:b/>
              </w:rPr>
              <w:t>Organisation</w:t>
            </w:r>
          </w:p>
        </w:tc>
        <w:tc>
          <w:tcPr>
            <w:tcW w:type="dxa" w:w="4320"/>
          </w:tcPr>
          <w:p>
            <w:r>
              <w:t>[Company name]</w:t>
            </w:r>
          </w:p>
        </w:tc>
      </w:tr>
      <w:tr>
        <w:tc>
          <w:tcPr>
            <w:tcW w:type="dxa" w:w="4320"/>
          </w:tcPr>
          <w:p>
            <w:r>
              <w:rPr>
                <w:b/>
              </w:rPr>
              <w:t>Policy owner</w:t>
            </w:r>
          </w:p>
        </w:tc>
        <w:tc>
          <w:tcPr>
            <w:tcW w:type="dxa" w:w="4320"/>
          </w:tcPr>
          <w:p>
            <w:r>
              <w:rPr>
                <w:b/>
                <w:color w:val="3B5BFF"/>
              </w:rPr>
              <w:t>[HR / Director / Company Secretary]</w:t>
            </w:r>
          </w:p>
        </w:tc>
      </w:tr>
      <w:tr>
        <w:tc>
          <w:tcPr>
            <w:tcW w:type="dxa" w:w="4320"/>
          </w:tcPr>
          <w:p>
            <w:r>
              <w:rPr>
                <w:b/>
              </w:rPr>
              <w:t>Last reviewed</w:t>
            </w:r>
          </w:p>
        </w:tc>
        <w:tc>
          <w:tcPr>
            <w:tcW w:type="dxa" w:w="4320"/>
          </w:tcPr>
          <w:p>
            <w:r>
              <w:rPr>
                <w:b/>
                <w:color w:val="3B5BFF"/>
              </w:rPr>
              <w:t>[Date]</w:t>
            </w:r>
          </w:p>
        </w:tc>
      </w:tr>
      <w:tr>
        <w:tc>
          <w:tcPr>
            <w:tcW w:type="dxa" w:w="4320"/>
          </w:tcPr>
          <w:p>
            <w:r>
              <w:rPr>
                <w:b/>
              </w:rPr>
              <w:t>Next review due</w:t>
            </w:r>
          </w:p>
        </w:tc>
        <w:tc>
          <w:tcPr>
            <w:tcW w:type="dxa" w:w="4320"/>
          </w:tcPr>
          <w:p>
            <w:r>
              <w:rPr>
                <w:b/>
                <w:color w:val="3B5BFF"/>
              </w:rPr>
              <w:t>[Date]</w:t>
            </w:r>
          </w:p>
        </w:tc>
      </w:tr>
    </w:tbl>
    <w:p/>
    <w:p>
      <w:r>
        <w:rPr>
          <w:i/>
          <w:color w:val="64748B"/>
          <w:sz w:val="20"/>
        </w:rPr>
        <w:t>This policy template is provided for guidance only and does not constitute legal advice. Employment law is subject to change. Employers should take independent legal advice if uncertain how the law applies to their specific circumstances.</w:t>
      </w:r>
    </w:p>
    <w:p/>
    <w:p>
      <w:pPr>
        <w:spacing w:before="240" w:after="80"/>
      </w:pPr>
      <w:r>
        <w:rPr>
          <w:b/>
          <w:sz w:val="22"/>
        </w:rPr>
        <w:t>1. Purpose and scope</w:t>
      </w:r>
    </w:p>
    <w:p>
      <w:pPr>
        <w:spacing w:after="120"/>
      </w:pPr>
      <w:r>
        <w:t xml:space="preserve">This policy sets out how </w:t>
      </w:r>
      <w:r>
        <w:rPr>
          <w:b/>
          <w:color w:val="3B5BFF"/>
        </w:rPr>
        <w:t>[Company name]</w:t>
      </w:r>
      <w:r>
        <w:t xml:space="preserve"> handles requests for flexible working arrangements under the statutory procedure in the Employment Rights Act 1996, as amended. It applies to all employees from their first day of employment. This policy does not prevent </w:t>
      </w:r>
      <w:r>
        <w:rPr>
          <w:b/>
          <w:color w:val="3B5BFF"/>
        </w:rPr>
        <w:t>[Company name]</w:t>
      </w:r>
      <w:r>
        <w:t xml:space="preserve"> from agreeing informal flexible working arrangements outside the statutory process, and does not limit any employee's statutory rights.</w:t>
      </w:r>
    </w:p>
    <w:p>
      <w:pPr>
        <w:ind w:left="360"/>
      </w:pPr>
      <w:r>
        <w:rPr>
          <w:i/>
          <w:color w:val="64748B"/>
          <w:sz w:val="20"/>
        </w:rPr>
        <w:t>Drafting note: The reference to the statutory process is important: you may be happy to agree informal arrangements without a formal request, and this clause preserves that flexibility. Delete this note before issuing.</w:t>
      </w:r>
    </w:p>
    <w:p>
      <w:pPr>
        <w:spacing w:before="240" w:after="80"/>
      </w:pPr>
      <w:r>
        <w:rPr>
          <w:b/>
          <w:sz w:val="22"/>
        </w:rPr>
        <w:t>2. Types of flexible working available</w:t>
      </w:r>
    </w:p>
    <w:p>
      <w:pPr>
        <w:spacing w:after="120"/>
      </w:pPr>
      <w:r>
        <w:t>Flexible working includes any change to an employee's working pattern, including: part-time working; compressed hours (working the same number of hours over fewer days); flexi-time within agreed core hours; job sharing; remote or hybrid working; staggered hours; term-time only working; and annualised hours contracts. An employee does not have to justify the reason for their request.</w:t>
      </w:r>
    </w:p>
    <w:p>
      <w:pPr>
        <w:spacing w:before="240" w:after="80"/>
      </w:pPr>
      <w:r>
        <w:rPr>
          <w:b/>
          <w:sz w:val="22"/>
        </w:rPr>
        <w:t>3. Making a request</w:t>
      </w:r>
    </w:p>
    <w:p>
      <w:pPr>
        <w:spacing w:after="120"/>
      </w:pPr>
      <w:r>
        <w:t>A request for flexible working must be made in writing and must state: (a) the specific change to working arrangements requested; (b) the date on which the employee wants the change to take effect; and (c) whether the employee has made a previous flexible working request in the preceding 12 months and, if so, when. An employee may make up to two requests in any 12-month period. Only one request may be live at a time.</w:t>
      </w:r>
    </w:p>
    <w:p>
      <w:pPr>
        <w:ind w:left="360"/>
      </w:pPr>
      <w:r>
        <w:rPr>
          <w:i/>
          <w:color w:val="64748B"/>
          <w:sz w:val="20"/>
        </w:rPr>
        <w:t>Drafting note: These requirements reflect section 80F of the Employment Rights Act 1996 as amended. Employees are no longer required to state the effect of the change on the employer or how it can be dealt with. Delete this note before issuing.</w:t>
      </w:r>
    </w:p>
    <w:p>
      <w:pPr>
        <w:spacing w:before="240" w:after="80"/>
      </w:pPr>
      <w:r>
        <w:rPr>
          <w:b/>
          <w:sz w:val="22"/>
        </w:rPr>
        <w:t>4. Consideration and consultation</w:t>
      </w:r>
    </w:p>
    <w:p>
      <w:pPr>
        <w:spacing w:after="120"/>
      </w:pPr>
      <w:r>
        <w:rPr>
          <w:b/>
          <w:color w:val="3B5BFF"/>
        </w:rPr>
        <w:t>[Company name]</w:t>
      </w:r>
      <w:r>
        <w:t xml:space="preserve"> will acknowledge receipt of a flexible working request within </w:t>
      </w:r>
      <w:r>
        <w:rPr>
          <w:b/>
          <w:color w:val="3B5BFF"/>
        </w:rPr>
        <w:t>[5 / 10]</w:t>
      </w:r>
      <w:r>
        <w:t xml:space="preserve"> working days. Before reaching a decision, </w:t>
      </w:r>
      <w:r>
        <w:rPr>
          <w:b/>
          <w:color w:val="3B5BFF"/>
        </w:rPr>
        <w:t>[Company name]</w:t>
      </w:r>
      <w:r>
        <w:t xml:space="preserve"> will hold a consultation meeting with the employee to discuss the request, explore whether the arrangement requested or any variation of it can be accommodated, and consider whether a trial period is appropriate. The consultation meeting will be held within </w:t>
      </w:r>
      <w:r>
        <w:rPr>
          <w:b/>
          <w:color w:val="3B5BFF"/>
        </w:rPr>
        <w:t>[X]</w:t>
      </w:r>
      <w:r>
        <w:t xml:space="preserve"> weeks of receipt of the request.</w:t>
      </w:r>
    </w:p>
    <w:p>
      <w:pPr>
        <w:ind w:left="360"/>
      </w:pPr>
      <w:r>
        <w:rPr>
          <w:i/>
          <w:color w:val="64748B"/>
          <w:sz w:val="20"/>
        </w:rPr>
        <w:t>Drafting note: The ACAS Code of Practice recommends consultation before any decision. Set your own timescale, but ensure you can meet it within the overall two-month decision window. Delete this note before issuing.</w:t>
      </w:r>
    </w:p>
    <w:p>
      <w:pPr>
        <w:spacing w:before="240" w:after="80"/>
      </w:pPr>
      <w:r>
        <w:rPr>
          <w:b/>
          <w:sz w:val="22"/>
        </w:rPr>
        <w:t>5. Decision</w:t>
      </w:r>
    </w:p>
    <w:p>
      <w:pPr>
        <w:spacing w:after="120"/>
      </w:pPr>
      <w:r>
        <w:rPr>
          <w:b/>
          <w:color w:val="3B5BFF"/>
        </w:rPr>
        <w:t>[Company name]</w:t>
      </w:r>
      <w:r>
        <w:t xml:space="preserve"> will give the employee a written decision within two months of receiving the request, unless this deadline is extended by written agreement with the employee. If the request is approved, the letter will confirm the new working arrangement and its effective date. The arrangement will then form a permanent change to the employee's contract of employment unless agreed otherwise in writing.</w:t>
      </w:r>
    </w:p>
    <w:p>
      <w:pPr>
        <w:ind w:left="360"/>
      </w:pPr>
      <w:r>
        <w:rPr>
          <w:i/>
          <w:color w:val="64748B"/>
          <w:sz w:val="20"/>
        </w:rPr>
        <w:t>Drafting note: The two-month deadline is statutory. If the employee agrees to an extension in writing, document it carefully. Delete this note before issuing.</w:t>
      </w:r>
    </w:p>
    <w:p>
      <w:pPr>
        <w:spacing w:before="240" w:after="80"/>
      </w:pPr>
      <w:r>
        <w:rPr>
          <w:b/>
          <w:sz w:val="22"/>
        </w:rPr>
        <w:t>6. Grounds for refusal</w:t>
      </w:r>
    </w:p>
    <w:p>
      <w:pPr>
        <w:spacing w:after="120"/>
      </w:pPr>
      <w:r>
        <w:rPr>
          <w:b/>
          <w:color w:val="3B5BFF"/>
        </w:rPr>
        <w:t>[Company name]</w:t>
      </w:r>
      <w:r>
        <w:t xml:space="preserve"> may refuse a flexible working request only if one or more of the following grounds applies and it is reasonable to refuse on that ground: (a) the burden of additional costs; (b) detrimental effect on ability to meet customer demand; (c) inability to reorganise work among existing staff; (d) inability to recruit additional staff; (e) detrimental impact on quality; (f) detrimental impact on performance; (g) insufficiency of work during the periods the employee proposes to work; (h) planned structural changes. A refusal will be communicated in writing, stating the ground or grounds relied on and explaining why </w:t>
      </w:r>
      <w:r>
        <w:rPr>
          <w:b/>
          <w:color w:val="3B5BFF"/>
        </w:rPr>
        <w:t>[Company name]</w:t>
      </w:r>
      <w:r>
        <w:t xml:space="preserve"> considers it reasonable to refuse on that ground or those grounds in the circumstances.</w:t>
      </w:r>
    </w:p>
    <w:p>
      <w:pPr>
        <w:ind w:left="360"/>
      </w:pPr>
      <w:r>
        <w:rPr>
          <w:i/>
          <w:color w:val="64748B"/>
          <w:sz w:val="20"/>
        </w:rPr>
        <w:t>Drafting note: The eight grounds are set out in section 80G(1ZA) of the Employment Rights Act 1996 as amended by the Employment Rights Act 2025, s.9 (in force 6 January 2026). A refusal that does not explain why it is reasonable is a procedural breach. Delete this note before issuing.</w:t>
      </w:r>
    </w:p>
    <w:p>
      <w:pPr>
        <w:spacing w:before="240" w:after="80"/>
      </w:pPr>
      <w:r>
        <w:rPr>
          <w:b/>
          <w:sz w:val="22"/>
        </w:rPr>
        <w:t>7. Trial periods (discretionary)</w:t>
      </w:r>
    </w:p>
    <w:p>
      <w:pPr>
        <w:spacing w:after="120"/>
      </w:pPr>
      <w:r>
        <w:t xml:space="preserve">Where a flexible working request cannot be approved in the form requested, </w:t>
      </w:r>
      <w:r>
        <w:rPr>
          <w:b/>
          <w:color w:val="3B5BFF"/>
        </w:rPr>
        <w:t>[Company name]</w:t>
      </w:r>
      <w:r>
        <w:t xml:space="preserve"> </w:t>
      </w:r>
      <w:r>
        <w:rPr>
          <w:b/>
          <w:color w:val="3B5BFF"/>
        </w:rPr>
        <w:t>[may / will consider whether to]</w:t>
      </w:r>
      <w:r>
        <w:t xml:space="preserve"> offer a trial period of </w:t>
      </w:r>
      <w:r>
        <w:rPr>
          <w:b/>
          <w:color w:val="3B5BFF"/>
        </w:rPr>
        <w:t>[X]</w:t>
      </w:r>
      <w:r>
        <w:t xml:space="preserve"> months to assess whether the arrangement is workable. At the end of the trial period, </w:t>
      </w:r>
      <w:r>
        <w:rPr>
          <w:b/>
          <w:color w:val="3B5BFF"/>
        </w:rPr>
        <w:t>[Company name]</w:t>
      </w:r>
      <w:r>
        <w:t xml:space="preserve"> will either confirm the arrangement permanently or, if it has not worked in practice, revert to the previous arrangement with </w:t>
      </w:r>
      <w:r>
        <w:rPr>
          <w:b/>
          <w:color w:val="3B5BFF"/>
        </w:rPr>
        <w:t>[X weeks']</w:t>
      </w:r>
      <w:r>
        <w:t xml:space="preserve"> notice. The employee will be consulted before any decision to revert is made.</w:t>
      </w:r>
    </w:p>
    <w:p>
      <w:pPr>
        <w:ind w:left="360"/>
      </w:pPr>
      <w:r>
        <w:rPr>
          <w:i/>
          <w:color w:val="64748B"/>
          <w:sz w:val="20"/>
        </w:rPr>
        <w:t>Drafting note: Trial periods are discretionary, not a statutory requirement. Including this clause signals a good-faith approach and can reduce the risk of tribunal claims. Choose how long the trial and the reversion notice should be. Delete this note before issuing.</w:t>
      </w:r>
    </w:p>
    <w:p>
      <w:pPr>
        <w:spacing w:before="240" w:after="80"/>
      </w:pPr>
      <w:r>
        <w:rPr>
          <w:b/>
          <w:sz w:val="22"/>
        </w:rPr>
        <w:t>8. Appeals</w:t>
      </w:r>
    </w:p>
    <w:p>
      <w:pPr>
        <w:spacing w:after="120"/>
      </w:pPr>
      <w:r>
        <w:t xml:space="preserve">An employee whose flexible working request is refused, or who is dissatisfied with the decision, may appeal within </w:t>
      </w:r>
      <w:r>
        <w:rPr>
          <w:b/>
          <w:color w:val="3B5BFF"/>
        </w:rPr>
        <w:t>[10 / 14]</w:t>
      </w:r>
      <w:r>
        <w:t xml:space="preserve"> calendar days of receiving the written decision. The appeal should be made in writing to </w:t>
      </w:r>
      <w:r>
        <w:rPr>
          <w:b/>
          <w:color w:val="3B5BFF"/>
        </w:rPr>
        <w:t>[HR / [name]]</w:t>
      </w:r>
      <w:r>
        <w:t>, stating the grounds of appeal. The appeal will be heard by a manager not involved in the original decision, within the overall two-month decision window or such extension as has been agreed. The employee may be accompanied at the appeal hearing by a colleague or trade union representative.</w:t>
      </w:r>
    </w:p>
    <w:p>
      <w:pPr>
        <w:ind w:left="360"/>
      </w:pPr>
      <w:r>
        <w:rPr>
          <w:i/>
          <w:color w:val="64748B"/>
          <w:sz w:val="20"/>
        </w:rPr>
        <w:t>Drafting note: An appeal process is recommended by the ACAS Code of Practice and reduces the risk of an employment tribunal claim. Delete this note before issuing.</w:t>
      </w:r>
    </w:p>
    <w:p>
      <w:pPr>
        <w:spacing w:before="240" w:after="80"/>
      </w:pPr>
      <w:r>
        <w:rPr>
          <w:b/>
          <w:sz w:val="22"/>
        </w:rPr>
        <w:t>9. Keeping records</w:t>
      </w:r>
    </w:p>
    <w:p>
      <w:pPr>
        <w:spacing w:after="120"/>
      </w:pPr>
      <w:r>
        <w:rPr>
          <w:b/>
          <w:color w:val="3B5BFF"/>
        </w:rPr>
        <w:t>[Company name]</w:t>
      </w:r>
      <w:r>
        <w:t xml:space="preserve"> will keep a written record of each flexible working request received, the consultation meeting, the decision made, the grounds for any refusal, and any appeal. These records will be kept for </w:t>
      </w:r>
      <w:r>
        <w:rPr>
          <w:b/>
          <w:color w:val="3B5BFF"/>
        </w:rPr>
        <w:t>[2 / 3]</w:t>
      </w:r>
      <w:r>
        <w:t xml:space="preserve"> years.</w:t>
      </w:r>
    </w:p>
    <w:p>
      <w:pPr>
        <w:ind w:left="360"/>
      </w:pPr>
      <w:r>
        <w:rPr>
          <w:i/>
          <w:color w:val="64748B"/>
          <w:sz w:val="20"/>
        </w:rPr>
        <w:t>Drafting note: Good record-keeping is your primary protection in any employment tribunal claim. The requirement since January 2026 to explain the reasonableness of a refusal makes a documented consultation even more important. Delete this note before issuing.</w:t>
      </w:r>
    </w:p>
    <w:p>
      <w:pPr>
        <w:spacing w:before="240" w:after="80"/>
      </w:pPr>
      <w:r>
        <w:rPr>
          <w:b/>
          <w:sz w:val="22"/>
        </w:rPr>
        <w:t>10. Review</w:t>
      </w:r>
    </w:p>
    <w:p>
      <w:pPr>
        <w:spacing w:after="120"/>
      </w:pPr>
      <w:r>
        <w:t xml:space="preserve">This policy will be reviewed </w:t>
      </w:r>
      <w:r>
        <w:rPr>
          <w:b/>
          <w:color w:val="3B5BFF"/>
        </w:rPr>
        <w:t>[annually / every two years]</w:t>
      </w:r>
      <w:r>
        <w:t xml:space="preserve"> and updated as the law or business requirements change. Employees with questions should contact </w:t>
      </w:r>
      <w:r>
        <w:rPr>
          <w:b/>
          <w:color w:val="3B5BFF"/>
        </w:rPr>
        <w:t>[HR / their line manager / [name]]</w:t>
      </w:r>
      <w:r>
        <w:t>.</w:t>
      </w:r>
    </w:p>
    <w:p/>
    <w:p>
      <w:r>
        <w:rPr>
          <w:b/>
          <w:sz w:val="22"/>
        </w:rPr>
        <w:t>Statutory sources</w:t>
      </w:r>
    </w:p>
    <w:p>
      <w:pPr>
        <w:pStyle w:val="ListBullet"/>
      </w:pPr>
      <w:r>
        <w:rPr>
          <w:sz w:val="20"/>
        </w:rPr>
        <w:t>Employment Rights Act 1996, sections 80F to 80I (as amended)</w:t>
      </w:r>
    </w:p>
    <w:p>
      <w:pPr>
        <w:pStyle w:val="ListBullet"/>
      </w:pPr>
      <w:r>
        <w:rPr>
          <w:sz w:val="20"/>
        </w:rPr>
        <w:t>Employment Relations (Flexible Working) Act 2023</w:t>
      </w:r>
    </w:p>
    <w:p>
      <w:pPr>
        <w:pStyle w:val="ListBullet"/>
      </w:pPr>
      <w:r>
        <w:rPr>
          <w:sz w:val="20"/>
        </w:rPr>
        <w:t>Flexible Working (Amendment) Regulations 2023 (SI 2023/1328)</w:t>
      </w:r>
    </w:p>
    <w:p>
      <w:pPr>
        <w:pStyle w:val="ListBullet"/>
      </w:pPr>
      <w:r>
        <w:rPr>
          <w:sz w:val="20"/>
        </w:rPr>
        <w:t>The Code of Practice (Requests for Flexible Working) Order 2024 (SI 2024/429)</w:t>
      </w:r>
    </w:p>
    <w:p>
      <w:pPr>
        <w:pStyle w:val="ListBullet"/>
      </w:pPr>
      <w:r>
        <w:rPr>
          <w:sz w:val="20"/>
        </w:rPr>
        <w:t>Employment Rights Act 2025, section 9</w:t>
      </w:r>
    </w:p>
    <w:p>
      <w:pPr>
        <w:pStyle w:val="ListBullet"/>
      </w:pPr>
      <w:r>
        <w:rPr>
          <w:sz w:val="20"/>
        </w:rPr>
        <w:t>The Employment Rights Act 2025 (Commencement No. 1) Regulations 2026 (SI 2026/3)</w:t>
      </w:r>
    </w:p>
    <w:p>
      <w:pPr>
        <w:pStyle w:val="ListBullet"/>
      </w:pPr>
      <w:r>
        <w:rPr>
          <w:sz w:val="20"/>
        </w:rPr>
        <w:t>ACAS Code of Practice on Requests for Flexible Working (April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