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36"/>
        </w:rPr>
        <w:t>BANK HOLIDAY POLICY</w:t>
      </w:r>
    </w:p>
    <w:p>
      <w:pPr>
        <w:jc w:val="center"/>
      </w:pPr>
      <w:r>
        <w:rPr>
          <w:color w:val="64748B"/>
          <w:sz w:val="22"/>
        </w:rPr>
        <w:t>Employee Handbook Clause</w:t>
      </w:r>
    </w:p>
    <w:p/>
    <w:tbl>
      <w:tblPr>
        <w:tblStyle w:val="TableGrid"/>
        <w:tblW w:type="auto" w:w="0"/>
        <w:tblLook w:firstColumn="1" w:firstRow="1" w:lastColumn="0" w:lastRow="0" w:noHBand="0" w:noVBand="1" w:val="04A0"/>
      </w:tblPr>
      <w:tblGrid>
        <w:gridCol w:w="4703"/>
        <w:gridCol w:w="4703"/>
      </w:tblGrid>
      <w:tr>
        <w:tc>
          <w:tcPr>
            <w:tcW w:type="dxa" w:w="4703"/>
          </w:tcPr>
          <w:p>
            <w:r>
              <w:rPr>
                <w:sz w:val="20"/>
              </w:rPr>
              <w:t>Company name</w:t>
            </w:r>
          </w:p>
        </w:tc>
        <w:tc>
          <w:tcPr>
            <w:tcW w:type="dxa" w:w="4703"/>
          </w:tcPr>
          <w:p>
            <w:r>
              <w:rPr>
                <w:sz w:val="20"/>
              </w:rPr>
            </w:r>
            <w:r>
              <w:rPr>
                <w:b/>
                <w:color w:val="3B5BFF"/>
                <w:sz w:val="20"/>
              </w:rPr>
              <w:t>[Company name]</w:t>
            </w:r>
          </w:p>
        </w:tc>
      </w:tr>
      <w:tr>
        <w:tc>
          <w:tcPr>
            <w:tcW w:type="dxa" w:w="4703"/>
          </w:tcPr>
          <w:p>
            <w:r>
              <w:rPr>
                <w:sz w:val="20"/>
              </w:rPr>
              <w:t>Applies to</w:t>
            </w:r>
          </w:p>
        </w:tc>
        <w:tc>
          <w:tcPr>
            <w:tcW w:type="dxa" w:w="4703"/>
          </w:tcPr>
          <w:p>
            <w:r>
              <w:rPr>
                <w:sz w:val="20"/>
              </w:rPr>
            </w:r>
            <w:r>
              <w:rPr>
                <w:b/>
                <w:color w:val="3B5BFF"/>
                <w:sz w:val="20"/>
              </w:rPr>
              <w:t>All employees and workers</w:t>
            </w:r>
          </w:p>
        </w:tc>
      </w:tr>
      <w:tr>
        <w:tc>
          <w:tcPr>
            <w:tcW w:type="dxa" w:w="4703"/>
          </w:tcPr>
          <w:p>
            <w:r>
              <w:rPr>
                <w:sz w:val="20"/>
              </w:rPr>
              <w:t>Last reviewed</w:t>
            </w:r>
          </w:p>
        </w:tc>
        <w:tc>
          <w:tcPr>
            <w:tcW w:type="dxa" w:w="4703"/>
          </w:tcPr>
          <w:p>
            <w:r>
              <w:rPr>
                <w:sz w:val="20"/>
              </w:rPr>
            </w:r>
            <w:r>
              <w:rPr>
                <w:b/>
                <w:color w:val="3B5BFF"/>
                <w:sz w:val="20"/>
              </w:rPr>
              <w:t>[Date]</w:t>
            </w:r>
          </w:p>
        </w:tc>
      </w:tr>
      <w:tr>
        <w:tc>
          <w:tcPr>
            <w:tcW w:type="dxa" w:w="4703"/>
          </w:tcPr>
          <w:p>
            <w:r>
              <w:rPr>
                <w:sz w:val="20"/>
              </w:rPr>
              <w:t>Version</w:t>
            </w:r>
          </w:p>
        </w:tc>
        <w:tc>
          <w:tcPr>
            <w:tcW w:type="dxa" w:w="4703"/>
          </w:tcPr>
          <w:p>
            <w:r>
              <w:rPr>
                <w:sz w:val="20"/>
              </w:rPr>
            </w:r>
            <w:r>
              <w:rPr>
                <w:b/>
                <w:color w:val="3B5BFF"/>
                <w:sz w:val="20"/>
              </w:rPr>
              <w:t>[1.0]</w:t>
            </w:r>
          </w:p>
        </w:tc>
      </w:tr>
    </w:tbl>
    <w:p/>
    <w:p>
      <w:r>
        <w:rPr>
          <w:i/>
          <w:color w:val="64748B"/>
          <w:sz w:val="18"/>
        </w:rPr>
        <w:t>DISCLAIMER: This template is provided as a starting point only and does not constitute legal advice. Adapt it to your specific circumstances. If in doubt, seek advice from ACAS or an employment solicitor.</w:t>
      </w:r>
    </w:p>
    <w:p/>
    <w:p>
      <w:r>
        <w:rPr>
          <w:b/>
          <w:color w:val="0F172A"/>
          <w:sz w:val="22"/>
        </w:rPr>
        <w:t>1. Purpose and scope</w:t>
      </w:r>
    </w:p>
    <w:p>
      <w:r>
        <w:rPr>
          <w:sz w:val="20"/>
        </w:rPr>
        <w:t xml:space="preserve">This policy sets out how bank holidays are treated as part of the annual leave entitlement at </w:t>
      </w:r>
      <w:r>
        <w:rPr>
          <w:b/>
          <w:color w:val="3B5BFF"/>
        </w:rPr>
        <w:t>[Company name]</w:t>
      </w:r>
      <w:r>
        <w:t>. It applies to all employees and workers. The Working Time Regulations 1998 set the minimum paid leave entitlement; this policy cannot reduce it.</w:t>
      </w:r>
    </w:p>
    <w:p>
      <w:r>
        <w:rPr>
          <w:b/>
          <w:color w:val="0F172A"/>
          <w:sz w:val="22"/>
        </w:rPr>
        <w:t>2. Bank holiday entitlement and treatment</w:t>
      </w:r>
    </w:p>
    <w:p>
      <w:r>
        <w:rPr>
          <w:sz w:val="20"/>
        </w:rPr>
        <w:t xml:space="preserve">Full-time employees working </w:t>
      </w:r>
      <w:r>
        <w:rPr>
          <w:b/>
          <w:color w:val="3B5BFF"/>
        </w:rPr>
        <w:t>[five]</w:t>
      </w:r>
      <w:r>
        <w:rPr>
          <w:sz w:val="20"/>
        </w:rPr>
        <w:t xml:space="preserve"> days a week are entitled to </w:t>
      </w:r>
      <w:r>
        <w:rPr>
          <w:b/>
          <w:color w:val="3B5BFF"/>
        </w:rPr>
        <w:t>[28]</w:t>
      </w:r>
      <w:r>
        <w:rPr>
          <w:sz w:val="20"/>
        </w:rPr>
        <w:t xml:space="preserve"> days paid annual leave per leave year, which </w:t>
      </w:r>
      <w:r>
        <w:rPr>
          <w:b/>
          <w:color w:val="3B5BFF"/>
        </w:rPr>
        <w:t>[includes / is in addition to]</w:t>
      </w:r>
      <w:r>
        <w:rPr>
          <w:sz w:val="20"/>
        </w:rPr>
        <w:t xml:space="preserve"> the </w:t>
      </w:r>
      <w:r>
        <w:rPr>
          <w:b/>
          <w:color w:val="3B5BFF"/>
        </w:rPr>
        <w:t>[eight]</w:t>
      </w:r>
      <w:r>
        <w:rPr>
          <w:sz w:val="20"/>
        </w:rPr>
        <w:t xml:space="preserve"> bank holidays for </w:t>
      </w:r>
      <w:r>
        <w:rPr>
          <w:b/>
          <w:color w:val="3B5BFF"/>
        </w:rPr>
        <w:t>[England and Wales / Scotland / Northern Ireland]</w:t>
      </w:r>
      <w:r>
        <w:rPr>
          <w:sz w:val="20"/>
        </w:rPr>
        <w:t xml:space="preserve"> published annually on GOV.UK.</w:t>
      </w:r>
    </w:p>
    <w:p>
      <w:pPr>
        <w:ind w:left="283"/>
        <w:pBdr>
          <w:left w:val="single" w:sz="6" w:space="4" w:color="F59E0B"/>
        </w:pBdr>
      </w:pPr>
      <w:r>
        <w:rPr>
          <w:i/>
          <w:color w:val="92400E"/>
          <w:sz w:val="18"/>
        </w:rPr>
        <w:t>Drafting note: 28 days inclusive is the statutory minimum for a five-day week (5.6 weeks x 5 days). If you say 'is in addition to,' you are giving more than the statutory minimum. Choose one option and delete the other. Delete this note before issuing.</w:t>
      </w:r>
    </w:p>
    <w:p>
      <w:r>
        <w:rPr>
          <w:b/>
          <w:color w:val="0F172A"/>
          <w:sz w:val="22"/>
        </w:rPr>
        <w:t>3. Part-time employees</w:t>
      </w:r>
    </w:p>
    <w:p>
      <w:r>
        <w:rPr>
          <w:sz w:val="20"/>
        </w:rPr>
        <w:t xml:space="preserve">Part-time employees receive a pro-rata bank holiday entitlement calculated as: (contracted working days per week / 5) x </w:t>
      </w:r>
      <w:r>
        <w:rPr>
          <w:b/>
          <w:color w:val="3B5BFF"/>
        </w:rPr>
        <w:t>[number of bank holidays in the leave year]</w:t>
      </w:r>
      <w:r>
        <w:rPr>
          <w:sz w:val="20"/>
        </w:rPr>
        <w:t>. Fractions are rounded up to the nearest half-day. Part-time employees may take their pro-rata bank holiday allocation on any of their contracted working days; they are not restricted to the actual bank holiday dates.</w:t>
      </w:r>
    </w:p>
    <w:p>
      <w:pPr>
        <w:ind w:left="283"/>
        <w:pBdr>
          <w:left w:val="single" w:sz="6" w:space="4" w:color="F59E0B"/>
        </w:pBdr>
      </w:pPr>
      <w:r>
        <w:rPr>
          <w:i/>
          <w:color w:val="92400E"/>
          <w:sz w:val="18"/>
        </w:rPr>
        <w:t>Drafting note: Required by the Part-time Workers (Prevention of Less Favourable Treatment) Regulations 2000. Most UK bank holidays fall on Mondays, so without this clause a part-timer who does not work Mondays would receive fewer effective bank holiday days. Delete this note before issuing.</w:t>
      </w:r>
    </w:p>
    <w:p>
      <w:r>
        <w:rPr>
          <w:b/>
          <w:color w:val="0F172A"/>
          <w:sz w:val="22"/>
        </w:rPr>
        <w:t>4. Shift workers and irregular patterns</w:t>
      </w:r>
    </w:p>
    <w:p>
      <w:r>
        <w:rPr>
          <w:sz w:val="20"/>
        </w:rPr>
        <w:t xml:space="preserve">Employees working shift patterns or irregular hours receive a bank holiday entitlement expressed in hours: (contracted weekly hours / 40) x </w:t>
      </w:r>
      <w:r>
        <w:rPr>
          <w:b/>
          <w:color w:val="3B5BFF"/>
        </w:rPr>
        <w:t>[8]</w:t>
      </w:r>
      <w:r>
        <w:rPr>
          <w:sz w:val="20"/>
        </w:rPr>
        <w:t xml:space="preserve"> bank holidays x </w:t>
      </w:r>
      <w:r>
        <w:rPr>
          <w:b/>
          <w:color w:val="3B5BFF"/>
        </w:rPr>
        <w:t>[standard daily hours]</w:t>
      </w:r>
      <w:r>
        <w:rPr>
          <w:sz w:val="20"/>
        </w:rPr>
        <w:t xml:space="preserve">. Where an employee is rostered to work on a bank holiday, they will receive </w:t>
      </w:r>
      <w:r>
        <w:rPr>
          <w:b/>
          <w:color w:val="3B5BFF"/>
        </w:rPr>
        <w:t>[a day in lieu to be taken at a mutually agreed time / an alternative day off in the same pay period]</w:t>
      </w:r>
      <w:r>
        <w:rPr>
          <w:sz w:val="20"/>
        </w:rPr>
        <w:t>.</w:t>
      </w:r>
    </w:p>
    <w:p>
      <w:pPr>
        <w:ind w:left="283"/>
        <w:pBdr>
          <w:left w:val="single" w:sz="6" w:space="4" w:color="F59E0B"/>
        </w:pBdr>
      </w:pPr>
      <w:r>
        <w:rPr>
          <w:i/>
          <w:color w:val="92400E"/>
          <w:sz w:val="18"/>
        </w:rPr>
        <w:t>Drafting note: Choose one day-in-lieu option and delete the other, or remove the sentence if not applicable. Standard daily hours is typically the contracted daily hours (e.g., 8 hours). Delete this note before issuing.</w:t>
      </w:r>
    </w:p>
    <w:p>
      <w:r>
        <w:rPr>
          <w:b/>
          <w:color w:val="0F172A"/>
          <w:sz w:val="22"/>
        </w:rPr>
        <w:t>5. Mandatory leave: bank holidays and shutdowns</w:t>
      </w:r>
    </w:p>
    <w:p>
      <w:r>
        <w:rPr>
          <w:sz w:val="20"/>
        </w:rPr>
        <w:t xml:space="preserve">Where the Company closes for a period that includes non-bank-holiday working days (for example, between Christmas and New Year), employees </w:t>
      </w:r>
      <w:r>
        <w:rPr>
          <w:b/>
          <w:color w:val="3B5BFF"/>
        </w:rPr>
        <w:t>[may be / will be]</w:t>
      </w:r>
      <w:r>
        <w:rPr>
          <w:sz w:val="20"/>
        </w:rPr>
        <w:t xml:space="preserve"> required to use annual leave for those days. At least </w:t>
      </w:r>
      <w:r>
        <w:rPr>
          <w:b/>
          <w:color w:val="3B5BFF"/>
        </w:rPr>
        <w:t>[number]</w:t>
      </w:r>
      <w:r>
        <w:rPr>
          <w:sz w:val="20"/>
        </w:rPr>
        <w:t xml:space="preserve"> weeks' notice will be given before any mandatory leave period. Mandatory leave cannot be required in a way that prevents employees from taking their full statutory entitlement of 5.6 weeks in the leave year.</w:t>
      </w:r>
    </w:p>
    <w:p>
      <w:pPr>
        <w:ind w:left="283"/>
        <w:pBdr>
          <w:left w:val="single" w:sz="6" w:space="4" w:color="F59E0B"/>
        </w:pBdr>
      </w:pPr>
      <w:r>
        <w:rPr>
          <w:i/>
          <w:color w:val="92400E"/>
          <w:sz w:val="18"/>
        </w:rPr>
        <w:t>Drafting note: Under Working Time Regulations 1998 Regulation 15(3), you may require workers to take leave on specific dates by giving notice at least as long as the leave required. Best practice is to give several weeks' notice, particularly for Christmas shutdowns. Specify your actual notice period and delete this note before issuing.</w:t>
      </w:r>
    </w:p>
    <w:p>
      <w:r>
        <w:rPr>
          <w:b/>
          <w:color w:val="0F172A"/>
          <w:sz w:val="22"/>
        </w:rPr>
        <w:t>6. Bank holidays during sickness absence</w:t>
      </w:r>
    </w:p>
    <w:p>
      <w:r>
        <w:rPr>
          <w:sz w:val="20"/>
        </w:rPr>
        <w:t xml:space="preserve">Where a bank holiday falls during a period of sickness absence, the bank holiday entitlement accrues and may be carried forward to be taken at a later date in the same leave year </w:t>
      </w:r>
      <w:r>
        <w:rPr>
          <w:b/>
          <w:color w:val="3B5BFF"/>
        </w:rPr>
        <w:t>[or, where that is not possible due to continued sickness, into the following leave year]</w:t>
      </w:r>
      <w:r>
        <w:rPr>
          <w:sz w:val="20"/>
        </w:rPr>
        <w:t>. Employees should notify their manager as soon as practicable if they wish to reclaim a bank holiday that fell during sickness absence.</w:t>
      </w:r>
    </w:p>
    <w:p>
      <w:r>
        <w:rPr>
          <w:b/>
          <w:color w:val="0F172A"/>
          <w:sz w:val="22"/>
        </w:rPr>
        <w:t>7. Bank holidays during family-related leave</w:t>
      </w:r>
    </w:p>
    <w:p>
      <w:r>
        <w:rPr>
          <w:sz w:val="20"/>
        </w:rPr>
        <w:t>Annual leave entitlement, including any bank holiday entitlement, continues to accrue throughout maternity leave, paternity leave, adoption leave, and shared parental leave. Any accrued entitlement that cannot be taken during the leave year must be carried forward and taken on return to work. This right cannot be waived by contract.</w:t>
      </w:r>
    </w:p>
    <w:p>
      <w:r>
        <w:rPr>
          <w:b/>
          <w:color w:val="0F172A"/>
          <w:sz w:val="22"/>
        </w:rPr>
        <w:t>8. Working on bank holidays</w:t>
      </w:r>
    </w:p>
    <w:p>
      <w:r>
        <w:rPr>
          <w:sz w:val="20"/>
        </w:rPr>
        <w:t xml:space="preserve">Where the business operates on bank holidays, employees may be asked to work. Employees who work on a bank holiday will receive </w:t>
      </w:r>
      <w:r>
        <w:rPr>
          <w:b/>
          <w:color w:val="3B5BFF"/>
        </w:rPr>
        <w:t>[a day in lieu / enhanced pay at [rate] / their normal pay if bank holidays are included in their standard rota]</w:t>
      </w:r>
      <w:r>
        <w:rPr>
          <w:sz w:val="20"/>
        </w:rPr>
        <w:t>. The terms applicable to each role will be stated in the individual contract of employment.</w:t>
      </w:r>
    </w:p>
    <w:p>
      <w:pPr>
        <w:ind w:left="283"/>
        <w:pBdr>
          <w:left w:val="single" w:sz="6" w:space="4" w:color="F59E0B"/>
        </w:pBdr>
      </w:pPr>
      <w:r>
        <w:rPr>
          <w:i/>
          <w:color w:val="92400E"/>
          <w:sz w:val="18"/>
        </w:rPr>
        <w:t>Drafting note: Day in lieu is the most common arrangement for employees not contractually required to work bank holidays. Enhanced pay (time and a half or double time) is common in retail and hospitality. Choose one option and delete the others. Delete this note before issuing.</w:t>
      </w:r>
    </w:p>
    <w:p/>
    <w:p>
      <w:pPr>
        <w:jc w:val="center"/>
      </w:pPr>
      <w:r>
        <w:rPr>
          <w:color w:val="64748B"/>
          <w:sz w:val="18"/>
        </w:rPr>
        <w:t>Template provided by Book Time Off (book-time-off.com) - free to use and adapt. Not legal advice.</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